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274"/>
        <w:gridCol w:w="642"/>
        <w:gridCol w:w="625"/>
        <w:gridCol w:w="716"/>
        <w:gridCol w:w="652"/>
        <w:gridCol w:w="759"/>
        <w:gridCol w:w="714"/>
        <w:gridCol w:w="3967"/>
        <w:gridCol w:w="1516"/>
        <w:gridCol w:w="2316"/>
        <w:gridCol w:w="6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23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6"/>
              <w:spacing w:line="540" w:lineRule="exact"/>
              <w:ind w:firstLine="0" w:firstLineChars="0"/>
              <w:rPr>
                <w:rFonts w:hint="eastAsia" w:ascii="方正小标宋简体" w:hAnsi="方正小标宋简体" w:eastAsia="黑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8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pacing w:val="-8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423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广安门医院济南医院2024年公开招聘卫生高级人才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（控制总量）岗位汇总表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专业要求及条件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联系人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联系方式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报名邮箱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广安门医院济南医院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硕士研究生以上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硕士以上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临床医学一级学科,具有执业医师资格证书，具有副高级及以上专业技术职务资格证书。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贾老师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0531-86193190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 HYPERLINK "mailto:szyrsk@jn.shandong.cn" \o "mailto:szyrsk@jn.shandong.cn" </w:instrTex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color w:val="000000"/>
                <w:sz w:val="20"/>
                <w:szCs w:val="20"/>
                <w:u w:val="none"/>
              </w:rPr>
              <w:t>szyrsk@jn.shandong.cn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广安门医院济南医院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中医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硕士研究生以上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硕士以上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中医学一级学科、中西医结合一级学科,具有执业医师资格证书，具有副高级及以上专业技术职务资格证书。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贾老师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0531-86193190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 HYPERLINK "mailto:szyrsk@jn.shandong.cn" \o "mailto:szyrsk@jn.shandong.cn" </w:instrTex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color w:val="000000"/>
                <w:sz w:val="20"/>
                <w:szCs w:val="20"/>
                <w:u w:val="none"/>
              </w:rPr>
              <w:t>szyrsk@jn.shandong.cn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学历高于岗位要求的人员可以报考该岗位，应聘岗位有学位要求的，考生应当具有相应或更高学位。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76EDE"/>
    <w:rsid w:val="0CC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2024-11-29T07:13:00Z</dcterms:created>
  <dc:creator>user</dc:creator>
  <cp:lastModifiedBy>user</cp:lastModifiedBy>
  <dcterms:modified xsi:type="dcterms:W3CDTF">2024-11-29T07:14:16Z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