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F31C87">
      <w:pPr>
        <w:jc w:val="center"/>
        <w:rPr>
          <w:rFonts w:hint="eastAsia" w:ascii="宋体" w:hAnsi="宋体" w:eastAsia="宋体" w:cs="宋体"/>
          <w:b/>
          <w:bCs/>
          <w:sz w:val="44"/>
          <w:szCs w:val="44"/>
        </w:rPr>
      </w:pPr>
      <w:r>
        <w:rPr>
          <w:rFonts w:hint="eastAsia" w:ascii="宋体" w:hAnsi="宋体" w:eastAsia="宋体" w:cs="宋体"/>
          <w:b/>
          <w:bCs/>
          <w:sz w:val="44"/>
          <w:szCs w:val="44"/>
        </w:rPr>
        <w:t>麻醉科专业基地简介</w:t>
      </w:r>
    </w:p>
    <w:p w14:paraId="0AE78D2C">
      <w:pPr>
        <w:jc w:val="center"/>
        <w:rPr>
          <w:rFonts w:hint="eastAsia" w:ascii="宋体" w:hAnsi="宋体" w:eastAsia="宋体" w:cs="宋体"/>
          <w:b/>
          <w:bCs/>
          <w:sz w:val="44"/>
          <w:szCs w:val="44"/>
        </w:rPr>
      </w:pPr>
    </w:p>
    <w:p w14:paraId="4FC2A69A">
      <w:pPr>
        <w:rPr>
          <w:rFonts w:hint="eastAsia" w:ascii="宋体" w:hAnsi="宋体" w:eastAsia="宋体" w:cs="宋体"/>
          <w:b/>
          <w:bCs/>
          <w:sz w:val="32"/>
          <w:szCs w:val="32"/>
        </w:rPr>
      </w:pPr>
      <w:r>
        <w:rPr>
          <w:rFonts w:hint="eastAsia" w:ascii="宋体" w:hAnsi="宋体" w:eastAsia="宋体" w:cs="宋体"/>
          <w:b/>
          <w:bCs/>
          <w:sz w:val="32"/>
          <w:szCs w:val="32"/>
        </w:rPr>
        <w:t>基地概况：</w:t>
      </w:r>
    </w:p>
    <w:p w14:paraId="0EEA360B">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湛江中心人民医院麻醉科始建于1962年，经过</w:t>
      </w:r>
      <w:r>
        <w:rPr>
          <w:rFonts w:hint="eastAsia" w:ascii="宋体" w:hAnsi="宋体" w:eastAsia="宋体" w:cs="宋体"/>
          <w:sz w:val="32"/>
          <w:szCs w:val="32"/>
          <w:highlight w:val="none"/>
          <w:lang w:val="en-US" w:eastAsia="zh-CN"/>
        </w:rPr>
        <w:t>60多</w:t>
      </w:r>
      <w:r>
        <w:rPr>
          <w:rFonts w:hint="eastAsia" w:ascii="宋体" w:hAnsi="宋体" w:eastAsia="宋体" w:cs="宋体"/>
          <w:sz w:val="32"/>
          <w:szCs w:val="32"/>
        </w:rPr>
        <w:t>年的建设和发展，已发展成集临床麻醉、疼痛诊疗、重症监护与治疗、手术护理、麻醉护理、麻醉学教研室及麻醉学实验室等为一体的大学科，系粤西地区技术力量最雄厚的麻醉学科之一。“至善，秉德，维新，求实”是科室文化，“临床为本，教学相长，科研兴科”是学科发展之道。目前是集医疗、教学、科研于一体的院内临床重点专科，是广东省吸入麻醉教学培训基地、广东省药学会静脉麻醉TCI培训基地、国家住院医师规范化培训基地</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2024年广东省住院医师规范化培训麻醉科结业临床实践能力考点（粤西唯一）</w:t>
      </w:r>
      <w:r>
        <w:rPr>
          <w:rFonts w:hint="eastAsia" w:ascii="宋体" w:hAnsi="宋体" w:eastAsia="宋体" w:cs="宋体"/>
          <w:sz w:val="32"/>
          <w:szCs w:val="32"/>
        </w:rPr>
        <w:t>。在医疗工作方面：年完成麻醉</w:t>
      </w:r>
      <w:r>
        <w:rPr>
          <w:rFonts w:hint="eastAsia" w:ascii="宋体" w:hAnsi="宋体" w:eastAsia="宋体" w:cs="宋体"/>
          <w:sz w:val="32"/>
          <w:szCs w:val="32"/>
          <w:lang w:val="en-US" w:eastAsia="zh-CN"/>
        </w:rPr>
        <w:t>接近4</w:t>
      </w:r>
      <w:r>
        <w:rPr>
          <w:rFonts w:hint="eastAsia" w:ascii="宋体" w:hAnsi="宋体" w:eastAsia="宋体" w:cs="宋体"/>
          <w:sz w:val="32"/>
          <w:szCs w:val="32"/>
        </w:rPr>
        <w:t>万例 ，手术室内麻醉约</w:t>
      </w:r>
      <w:r>
        <w:rPr>
          <w:rFonts w:hint="eastAsia" w:ascii="宋体" w:hAnsi="宋体" w:eastAsia="宋体" w:cs="宋体"/>
          <w:sz w:val="32"/>
          <w:szCs w:val="32"/>
          <w:lang w:val="en-US" w:eastAsia="zh-CN"/>
        </w:rPr>
        <w:t>2</w:t>
      </w:r>
      <w:r>
        <w:rPr>
          <w:rFonts w:hint="eastAsia" w:ascii="宋体" w:hAnsi="宋体" w:eastAsia="宋体" w:cs="宋体"/>
          <w:sz w:val="32"/>
          <w:szCs w:val="32"/>
        </w:rPr>
        <w:t>.</w:t>
      </w:r>
      <w:r>
        <w:rPr>
          <w:rFonts w:hint="eastAsia" w:ascii="宋体" w:hAnsi="宋体" w:eastAsia="宋体" w:cs="宋体"/>
          <w:sz w:val="32"/>
          <w:szCs w:val="32"/>
          <w:lang w:val="en-US" w:eastAsia="zh-CN"/>
        </w:rPr>
        <w:t>0</w:t>
      </w:r>
      <w:r>
        <w:rPr>
          <w:rFonts w:hint="eastAsia" w:ascii="宋体" w:hAnsi="宋体" w:eastAsia="宋体" w:cs="宋体"/>
          <w:sz w:val="32"/>
          <w:szCs w:val="32"/>
        </w:rPr>
        <w:t>万例手术室外麻醉约1.</w:t>
      </w:r>
      <w:r>
        <w:rPr>
          <w:rFonts w:hint="eastAsia" w:ascii="宋体" w:hAnsi="宋体" w:eastAsia="宋体" w:cs="宋体"/>
          <w:sz w:val="32"/>
          <w:szCs w:val="32"/>
          <w:lang w:val="en-US" w:eastAsia="zh-CN"/>
        </w:rPr>
        <w:t>8</w:t>
      </w:r>
      <w:r>
        <w:rPr>
          <w:rFonts w:hint="eastAsia" w:ascii="宋体" w:hAnsi="宋体" w:eastAsia="宋体" w:cs="宋体"/>
          <w:sz w:val="32"/>
          <w:szCs w:val="32"/>
        </w:rPr>
        <w:t>万例，疼痛诊疗年均2000人次，术后镇痛年均</w:t>
      </w:r>
      <w:r>
        <w:rPr>
          <w:rFonts w:hint="eastAsia" w:ascii="宋体" w:hAnsi="宋体" w:eastAsia="宋体" w:cs="宋体"/>
          <w:sz w:val="32"/>
          <w:szCs w:val="32"/>
          <w:lang w:val="en-US" w:eastAsia="zh-CN"/>
        </w:rPr>
        <w:t>5</w:t>
      </w:r>
      <w:r>
        <w:rPr>
          <w:rFonts w:hint="eastAsia" w:ascii="宋体" w:hAnsi="宋体" w:eastAsia="宋体" w:cs="宋体"/>
          <w:sz w:val="32"/>
          <w:szCs w:val="32"/>
        </w:rPr>
        <w:t>000人次。</w:t>
      </w:r>
    </w:p>
    <w:p w14:paraId="5C1B60CD">
      <w:pPr>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5365115" cy="2614295"/>
            <wp:effectExtent l="0" t="0" r="6985" b="14605"/>
            <wp:docPr id="5" name="图片 4" descr="一群穿着制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一群穿着制服的人&#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65115" cy="2614295"/>
                    </a:xfrm>
                    <a:prstGeom prst="rect">
                      <a:avLst/>
                    </a:prstGeom>
                  </pic:spPr>
                </pic:pic>
              </a:graphicData>
            </a:graphic>
          </wp:inline>
        </w:drawing>
      </w:r>
    </w:p>
    <w:p w14:paraId="11E8ACC7">
      <w:pPr>
        <w:rPr>
          <w:rFonts w:hint="eastAsia" w:ascii="宋体" w:hAnsi="宋体" w:eastAsia="宋体" w:cs="宋体"/>
          <w:sz w:val="32"/>
          <w:szCs w:val="32"/>
        </w:rPr>
      </w:pPr>
      <w:r>
        <w:drawing>
          <wp:inline distT="0" distB="0" distL="114300" distR="114300">
            <wp:extent cx="5372100" cy="3752850"/>
            <wp:effectExtent l="0" t="0" r="0" b="0"/>
            <wp:docPr id="18" name="图片 3" descr="微信图片_2024101211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微信图片_20241012114140"/>
                    <pic:cNvPicPr>
                      <a:picLocks noChangeAspect="1"/>
                    </pic:cNvPicPr>
                  </pic:nvPicPr>
                  <pic:blipFill>
                    <a:blip r:embed="rId5"/>
                    <a:stretch>
                      <a:fillRect/>
                    </a:stretch>
                  </pic:blipFill>
                  <pic:spPr>
                    <a:xfrm>
                      <a:off x="0" y="0"/>
                      <a:ext cx="5372100" cy="3752850"/>
                    </a:xfrm>
                    <a:prstGeom prst="rect">
                      <a:avLst/>
                    </a:prstGeom>
                  </pic:spPr>
                </pic:pic>
              </a:graphicData>
            </a:graphic>
          </wp:inline>
        </w:drawing>
      </w:r>
    </w:p>
    <w:p w14:paraId="75646E09">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32"/>
          <w:szCs w:val="32"/>
        </w:rPr>
      </w:pPr>
      <w:r>
        <w:rPr>
          <w:rFonts w:hint="eastAsia" w:ascii="宋体" w:hAnsi="宋体" w:eastAsia="宋体" w:cs="宋体"/>
          <w:sz w:val="32"/>
          <w:szCs w:val="32"/>
        </w:rPr>
        <w:t>近四年来，科室所获荣誉及奖项：</w:t>
      </w:r>
    </w:p>
    <w:p w14:paraId="64CBD77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kern w:val="0"/>
          <w:sz w:val="32"/>
          <w:szCs w:val="32"/>
        </w:rPr>
        <w:t>◾</w:t>
      </w:r>
      <w:r>
        <w:rPr>
          <w:rFonts w:hint="eastAsia" w:ascii="宋体" w:hAnsi="宋体" w:eastAsia="宋体" w:cs="宋体"/>
          <w:sz w:val="32"/>
          <w:szCs w:val="32"/>
        </w:rPr>
        <w:t>近四年来，秉以医教研协同发展，目前</w:t>
      </w:r>
      <w:r>
        <w:rPr>
          <w:rFonts w:hint="eastAsia" w:ascii="宋体" w:hAnsi="宋体" w:eastAsia="宋体" w:cs="宋体"/>
          <w:sz w:val="32"/>
          <w:szCs w:val="32"/>
          <w:lang w:val="en-US" w:eastAsia="zh-CN"/>
        </w:rPr>
        <w:t>博士1人、硕士4人、</w:t>
      </w:r>
      <w:r>
        <w:rPr>
          <w:rFonts w:hint="eastAsia" w:ascii="宋体" w:hAnsi="宋体" w:eastAsia="宋体" w:cs="宋体"/>
          <w:sz w:val="32"/>
          <w:szCs w:val="32"/>
        </w:rPr>
        <w:t>在读硕士4人，参与广东医科大学、暨南大学等多所大学麻醉学教学。近3年获等各类研究基金100多万元，目前共发表SCI论文16篇，获得国家自然科学基金共1项，广东省自然科学基金共1项。</w:t>
      </w:r>
    </w:p>
    <w:p w14:paraId="72E62A7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kern w:val="0"/>
          <w:sz w:val="32"/>
          <w:szCs w:val="32"/>
        </w:rPr>
      </w:pPr>
    </w:p>
    <w:p w14:paraId="6E8DEE19">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kern w:val="0"/>
          <w:sz w:val="32"/>
          <w:szCs w:val="32"/>
        </w:rPr>
        <w:t>◾</w:t>
      </w:r>
      <w:r>
        <w:rPr>
          <w:rFonts w:hint="eastAsia" w:ascii="宋体" w:hAnsi="宋体" w:eastAsia="宋体" w:cs="宋体"/>
          <w:sz w:val="32"/>
          <w:szCs w:val="32"/>
        </w:rPr>
        <w:t>2022年6月获得广东省药学会颁发静脉麻醉TCI基地评估合格证，成为静脉麻醉TCI培训基地；</w:t>
      </w:r>
    </w:p>
    <w:p w14:paraId="7245546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4862830" cy="3141980"/>
            <wp:effectExtent l="0" t="0" r="13970" b="1270"/>
            <wp:docPr id="4"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文本, 信件&#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2830" cy="3141980"/>
                    </a:xfrm>
                    <a:prstGeom prst="rect">
                      <a:avLst/>
                    </a:prstGeom>
                  </pic:spPr>
                </pic:pic>
              </a:graphicData>
            </a:graphic>
          </wp:inline>
        </w:drawing>
      </w:r>
    </w:p>
    <w:p w14:paraId="349F443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kern w:val="0"/>
          <w:sz w:val="32"/>
          <w:szCs w:val="32"/>
        </w:rPr>
      </w:pPr>
    </w:p>
    <w:p w14:paraId="16211A61">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kern w:val="2"/>
          <w:sz w:val="32"/>
          <w:szCs w:val="32"/>
          <w:lang w:val="en-US" w:eastAsia="zh-CN" w:bidi="ar"/>
        </w:rPr>
      </w:pPr>
      <w:r>
        <w:rPr>
          <w:rFonts w:hint="eastAsia" w:ascii="宋体" w:hAnsi="宋体" w:eastAsia="宋体" w:cs="宋体"/>
          <w:kern w:val="0"/>
          <w:sz w:val="32"/>
          <w:szCs w:val="32"/>
        </w:rPr>
        <w:t>◾</w:t>
      </w:r>
      <w:r>
        <w:rPr>
          <w:rFonts w:hint="eastAsia" w:ascii="宋体" w:hAnsi="宋体" w:eastAsia="宋体" w:cs="宋体"/>
          <w:kern w:val="2"/>
          <w:sz w:val="32"/>
          <w:szCs w:val="32"/>
          <w:lang w:val="en-US" w:eastAsia="zh-CN" w:bidi="ar"/>
        </w:rPr>
        <w:t>麻醉科专业基地多次获得湛江中心人民医院优秀专业基地称号，每年有多名带教老师获优秀指导老师称号以及多名住培医师获得优秀住院医师称号。</w:t>
      </w:r>
    </w:p>
    <w:p w14:paraId="0A5CDDE8">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drawing>
          <wp:inline distT="0" distB="0" distL="114300" distR="114300">
            <wp:extent cx="5344795" cy="4006850"/>
            <wp:effectExtent l="0" t="0" r="8255" b="12700"/>
            <wp:docPr id="17" name="图片 17" descr="1ff453bacf4681168dc1c836bcf6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ff453bacf4681168dc1c836bcf63fa"/>
                    <pic:cNvPicPr>
                      <a:picLocks noChangeAspect="1"/>
                    </pic:cNvPicPr>
                  </pic:nvPicPr>
                  <pic:blipFill>
                    <a:blip r:embed="rId7"/>
                    <a:stretch>
                      <a:fillRect/>
                    </a:stretch>
                  </pic:blipFill>
                  <pic:spPr>
                    <a:xfrm>
                      <a:off x="0" y="0"/>
                      <a:ext cx="5344795" cy="4006850"/>
                    </a:xfrm>
                    <a:prstGeom prst="rect">
                      <a:avLst/>
                    </a:prstGeom>
                  </pic:spPr>
                </pic:pic>
              </a:graphicData>
            </a:graphic>
          </wp:inline>
        </w:drawing>
      </w:r>
      <w:r>
        <w:rPr>
          <w:rFonts w:hint="eastAsia"/>
          <w:lang w:val="en-US" w:eastAsia="zh-CN"/>
        </w:rPr>
        <w:drawing>
          <wp:inline distT="0" distB="0" distL="114300" distR="114300">
            <wp:extent cx="5329555" cy="3665220"/>
            <wp:effectExtent l="0" t="0" r="4445" b="11430"/>
            <wp:docPr id="19" name="图片 19" descr="9226544a78bcbebbd19a93f13a5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226544a78bcbebbd19a93f13a5e570"/>
                    <pic:cNvPicPr>
                      <a:picLocks noChangeAspect="1"/>
                    </pic:cNvPicPr>
                  </pic:nvPicPr>
                  <pic:blipFill>
                    <a:blip r:embed="rId8"/>
                    <a:stretch>
                      <a:fillRect/>
                    </a:stretch>
                  </pic:blipFill>
                  <pic:spPr>
                    <a:xfrm>
                      <a:off x="0" y="0"/>
                      <a:ext cx="5329555" cy="3665220"/>
                    </a:xfrm>
                    <a:prstGeom prst="rect">
                      <a:avLst/>
                    </a:prstGeom>
                  </pic:spPr>
                </pic:pic>
              </a:graphicData>
            </a:graphic>
          </wp:inline>
        </w:drawing>
      </w:r>
    </w:p>
    <w:p w14:paraId="50E6AEF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kern w:val="0"/>
          <w:sz w:val="32"/>
          <w:szCs w:val="32"/>
        </w:rPr>
      </w:pPr>
    </w:p>
    <w:p w14:paraId="347D56B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kern w:val="0"/>
          <w:sz w:val="32"/>
          <w:szCs w:val="32"/>
        </w:rPr>
      </w:pPr>
      <w:r>
        <w:rPr>
          <w:rFonts w:hint="eastAsia" w:ascii="宋体" w:hAnsi="宋体" w:eastAsia="宋体" w:cs="宋体"/>
          <w:kern w:val="0"/>
          <w:sz w:val="32"/>
          <w:szCs w:val="32"/>
        </w:rPr>
        <w:t>◾麻醉科住院医师陈智才在粤西地区“声动麻醉”超声技能选拔赛中获得第一名</w:t>
      </w:r>
      <w:r>
        <w:rPr>
          <w:rFonts w:hint="eastAsia" w:ascii="宋体" w:hAnsi="宋体" w:eastAsia="宋体" w:cs="宋体"/>
          <w:kern w:val="0"/>
          <w:sz w:val="32"/>
          <w:szCs w:val="32"/>
          <w:lang w:eastAsia="zh-CN"/>
        </w:rPr>
        <w:t>，</w:t>
      </w:r>
      <w:r>
        <w:rPr>
          <w:rFonts w:hint="eastAsia" w:ascii="宋体" w:hAnsi="宋体" w:eastAsia="宋体" w:cs="宋体"/>
          <w:kern w:val="0"/>
          <w:sz w:val="32"/>
          <w:szCs w:val="32"/>
        </w:rPr>
        <w:t>在广东省医学会麻醉学分会第31次年会“声动麻醉”超声技能竞赛荣获广东省二等奖和最佳人气奖。</w:t>
      </w:r>
    </w:p>
    <w:p w14:paraId="4A34F2EA">
      <w:pPr>
        <w:keepNext w:val="0"/>
        <w:keepLines w:val="0"/>
        <w:pageBreakBefore w:val="0"/>
        <w:widowControl w:val="0"/>
        <w:kinsoku/>
        <w:wordWrap/>
        <w:overflowPunct/>
        <w:topLinePunct w:val="0"/>
        <w:autoSpaceDE/>
        <w:autoSpaceDN/>
        <w:bidi w:val="0"/>
        <w:adjustRightInd/>
        <w:snapToGrid/>
        <w:ind w:left="0" w:leftChars="0" w:firstLine="419" w:firstLineChars="131"/>
        <w:textAlignment w:val="auto"/>
        <w:rPr>
          <w:rFonts w:hint="eastAsia" w:ascii="宋体" w:hAnsi="宋体" w:cs="宋体" w:eastAsiaTheme="minorEastAsia"/>
          <w:sz w:val="32"/>
          <w:szCs w:val="32"/>
          <w:lang w:eastAsia="zh-CN"/>
        </w:rPr>
      </w:pPr>
      <w:r>
        <w:rPr>
          <w:rFonts w:hint="eastAsia" w:ascii="宋体" w:hAnsi="宋体" w:cs="宋体" w:eastAsiaTheme="minorEastAsia"/>
          <w:sz w:val="32"/>
          <w:szCs w:val="32"/>
          <w:lang w:eastAsia="zh-CN"/>
        </w:rPr>
        <w:drawing>
          <wp:inline distT="0" distB="0" distL="114300" distR="114300">
            <wp:extent cx="4958080" cy="3306445"/>
            <wp:effectExtent l="0" t="0" r="13970" b="8255"/>
            <wp:docPr id="7" name="图片 7" descr="17c91d9f41034c21f2ab4b35f057d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c91d9f41034c21f2ab4b35f057d497"/>
                    <pic:cNvPicPr>
                      <a:picLocks noChangeAspect="1"/>
                    </pic:cNvPicPr>
                  </pic:nvPicPr>
                  <pic:blipFill>
                    <a:blip r:embed="rId9"/>
                    <a:stretch>
                      <a:fillRect/>
                    </a:stretch>
                  </pic:blipFill>
                  <pic:spPr>
                    <a:xfrm>
                      <a:off x="0" y="0"/>
                      <a:ext cx="4958080" cy="3306445"/>
                    </a:xfrm>
                    <a:prstGeom prst="rect">
                      <a:avLst/>
                    </a:prstGeom>
                  </pic:spPr>
                </pic:pic>
              </a:graphicData>
            </a:graphic>
          </wp:inline>
        </w:drawing>
      </w:r>
    </w:p>
    <w:p w14:paraId="07CC15BC">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eastAsia" w:ascii="宋体" w:hAnsi="宋体" w:cs="宋体"/>
          <w:sz w:val="32"/>
          <w:szCs w:val="32"/>
          <w:lang w:val="en-US" w:eastAsia="zh-CN"/>
        </w:rPr>
      </w:pPr>
      <w:r>
        <w:rPr>
          <w:rFonts w:hint="eastAsia" w:ascii="宋体" w:hAnsi="宋体" w:eastAsia="宋体" w:cs="宋体"/>
          <w:kern w:val="0"/>
          <w:sz w:val="32"/>
          <w:szCs w:val="32"/>
        </w:rPr>
        <w:t>◾</w:t>
      </w:r>
      <w:r>
        <w:rPr>
          <w:rFonts w:hint="eastAsia" w:ascii="宋体" w:hAnsi="宋体" w:eastAsia="宋体" w:cs="宋体"/>
          <w:kern w:val="0"/>
          <w:sz w:val="32"/>
          <w:szCs w:val="32"/>
          <w:lang w:val="en-US" w:eastAsia="zh-CN"/>
        </w:rPr>
        <w:t>规培医师参加广东省医学会麻醉学学术会议病例比赛</w:t>
      </w:r>
      <w:r>
        <w:rPr>
          <w:rFonts w:hint="eastAsia" w:ascii="宋体" w:hAnsi="宋体" w:cs="宋体"/>
          <w:sz w:val="32"/>
          <w:szCs w:val="32"/>
          <w:lang w:val="en-US" w:eastAsia="zh-CN"/>
        </w:rPr>
        <w:t>并获得佳绩</w:t>
      </w:r>
    </w:p>
    <w:p w14:paraId="3B4D777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ascii="宋体" w:hAnsi="宋体" w:cs="宋体"/>
          <w:sz w:val="32"/>
          <w:szCs w:val="32"/>
          <w:lang w:val="en-US" w:eastAsia="zh-CN"/>
        </w:rPr>
      </w:pPr>
      <w:r>
        <w:drawing>
          <wp:inline distT="0" distB="0" distL="114300" distR="114300">
            <wp:extent cx="5060950" cy="3228975"/>
            <wp:effectExtent l="0" t="0" r="635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0950" cy="3228975"/>
                    </a:xfrm>
                    <a:prstGeom prst="rect">
                      <a:avLst/>
                    </a:prstGeom>
                  </pic:spPr>
                </pic:pic>
              </a:graphicData>
            </a:graphic>
          </wp:inline>
        </w:drawing>
      </w:r>
    </w:p>
    <w:p w14:paraId="4AC7D28F">
      <w:pPr>
        <w:keepNext w:val="0"/>
        <w:keepLines w:val="0"/>
        <w:pageBreakBefore w:val="0"/>
        <w:widowControl w:val="0"/>
        <w:kinsoku/>
        <w:wordWrap/>
        <w:overflowPunct/>
        <w:topLinePunct w:val="0"/>
        <w:autoSpaceDE/>
        <w:autoSpaceDN/>
        <w:bidi w:val="0"/>
        <w:adjustRightInd/>
        <w:snapToGrid/>
        <w:jc w:val="left"/>
        <w:textAlignment w:val="auto"/>
      </w:pPr>
    </w:p>
    <w:p w14:paraId="4CD5C217">
      <w:pPr>
        <w:keepNext w:val="0"/>
        <w:keepLines w:val="0"/>
        <w:pageBreakBefore w:val="0"/>
        <w:widowControl w:val="0"/>
        <w:kinsoku/>
        <w:wordWrap/>
        <w:overflowPunct/>
        <w:topLinePunct w:val="0"/>
        <w:autoSpaceDE/>
        <w:autoSpaceDN/>
        <w:bidi w:val="0"/>
        <w:adjustRightInd/>
        <w:snapToGrid/>
        <w:ind w:left="420" w:leftChars="200" w:firstLine="0" w:firstLineChars="0"/>
        <w:jc w:val="left"/>
        <w:textAlignment w:val="auto"/>
        <w:rPr>
          <w:rFonts w:hint="eastAsia" w:ascii="宋体" w:hAnsi="宋体" w:cs="宋体"/>
          <w:sz w:val="32"/>
          <w:szCs w:val="32"/>
          <w:lang w:val="en-US" w:eastAsia="zh-CN"/>
        </w:rPr>
      </w:pPr>
      <w:r>
        <w:rPr>
          <w:rFonts w:hint="eastAsia" w:ascii="宋体" w:hAnsi="宋体" w:eastAsia="宋体" w:cs="宋体"/>
          <w:kern w:val="0"/>
          <w:sz w:val="32"/>
          <w:szCs w:val="32"/>
        </w:rPr>
        <w:t>◾</w:t>
      </w:r>
      <w:r>
        <w:rPr>
          <w:rFonts w:hint="eastAsia" w:ascii="宋体" w:hAnsi="宋体" w:eastAsia="宋体" w:cs="宋体"/>
          <w:kern w:val="0"/>
          <w:sz w:val="32"/>
          <w:szCs w:val="32"/>
          <w:lang w:val="en-US" w:eastAsia="zh-CN"/>
        </w:rPr>
        <w:t>规培医师参加</w:t>
      </w:r>
      <w:r>
        <w:rPr>
          <w:rFonts w:hint="eastAsia" w:ascii="宋体" w:hAnsi="宋体" w:cs="宋体" w:eastAsiaTheme="minorEastAsia"/>
          <w:sz w:val="32"/>
          <w:szCs w:val="32"/>
          <w:lang w:val="en-US" w:eastAsia="zh-CN"/>
        </w:rPr>
        <w:t>湛江中心人民医院</w:t>
      </w:r>
      <w:r>
        <w:rPr>
          <w:rFonts w:hint="eastAsia" w:ascii="宋体" w:hAnsi="宋体" w:cs="宋体"/>
          <w:sz w:val="32"/>
          <w:szCs w:val="32"/>
          <w:lang w:val="en-US" w:eastAsia="zh-CN"/>
        </w:rPr>
        <w:t>住培医师病例汇报大赛并多次获得佳绩。</w:t>
      </w:r>
    </w:p>
    <w:p w14:paraId="2BEEC0EA">
      <w:pPr>
        <w:keepNext w:val="0"/>
        <w:keepLines w:val="0"/>
        <w:pageBreakBefore w:val="0"/>
        <w:widowControl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b/>
          <w:bCs/>
          <w:sz w:val="32"/>
          <w:szCs w:val="32"/>
          <w:lang w:eastAsia="zh-CN"/>
        </w:rPr>
      </w:pPr>
      <w:r>
        <w:rPr>
          <w:rFonts w:hint="default" w:ascii="宋体" w:hAnsi="宋体" w:cs="宋体"/>
          <w:sz w:val="32"/>
          <w:szCs w:val="32"/>
          <w:lang w:val="en-US" w:eastAsia="zh-CN"/>
        </w:rPr>
        <w:drawing>
          <wp:inline distT="0" distB="0" distL="114300" distR="114300">
            <wp:extent cx="4759325" cy="3568065"/>
            <wp:effectExtent l="0" t="0" r="3175" b="13335"/>
            <wp:docPr id="20" name="图片 20" descr="b8dd69671770479fb758bd6461511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8dd69671770479fb758bd6461511e9"/>
                    <pic:cNvPicPr>
                      <a:picLocks noChangeAspect="1"/>
                    </pic:cNvPicPr>
                  </pic:nvPicPr>
                  <pic:blipFill>
                    <a:blip r:embed="rId11"/>
                    <a:stretch>
                      <a:fillRect/>
                    </a:stretch>
                  </pic:blipFill>
                  <pic:spPr>
                    <a:xfrm>
                      <a:off x="0" y="0"/>
                      <a:ext cx="4759325" cy="3568065"/>
                    </a:xfrm>
                    <a:prstGeom prst="rect">
                      <a:avLst/>
                    </a:prstGeom>
                  </pic:spPr>
                </pic:pic>
              </a:graphicData>
            </a:graphic>
          </wp:inline>
        </w:drawing>
      </w:r>
    </w:p>
    <w:p w14:paraId="454AB207">
      <w:pPr>
        <w:rPr>
          <w:rFonts w:hint="eastAsia" w:ascii="宋体" w:hAnsi="宋体" w:eastAsia="宋体" w:cs="宋体"/>
          <w:b/>
          <w:bCs/>
          <w:sz w:val="32"/>
          <w:szCs w:val="32"/>
        </w:rPr>
      </w:pPr>
      <w:r>
        <w:rPr>
          <w:rFonts w:hint="eastAsia" w:ascii="宋体" w:hAnsi="宋体" w:eastAsia="宋体" w:cs="宋体"/>
          <w:b/>
          <w:bCs/>
          <w:sz w:val="32"/>
          <w:szCs w:val="32"/>
        </w:rPr>
        <w:t>师资力量：</w:t>
      </w:r>
    </w:p>
    <w:p w14:paraId="32B6089A">
      <w:pPr>
        <w:ind w:firstLine="640" w:firstLineChars="200"/>
        <w:rPr>
          <w:rFonts w:hint="eastAsia" w:ascii="宋体" w:hAnsi="宋体" w:eastAsia="宋体" w:cs="宋体"/>
          <w:sz w:val="32"/>
          <w:szCs w:val="32"/>
        </w:rPr>
      </w:pPr>
      <w:r>
        <w:rPr>
          <w:rFonts w:hint="eastAsia" w:ascii="宋体" w:hAnsi="宋体" w:eastAsia="宋体" w:cs="宋体"/>
          <w:sz w:val="32"/>
          <w:szCs w:val="32"/>
        </w:rPr>
        <w:t>近年来，按照一流学科建设的标准，麻醉科不断完善亚专科和技术团队的建设，目前共有亚专科1</w:t>
      </w:r>
      <w:r>
        <w:rPr>
          <w:rFonts w:hint="eastAsia" w:ascii="宋体" w:hAnsi="宋体" w:eastAsia="宋体" w:cs="宋体"/>
          <w:sz w:val="32"/>
          <w:szCs w:val="32"/>
          <w:lang w:val="en-US" w:eastAsia="zh-CN"/>
        </w:rPr>
        <w:t>0</w:t>
      </w:r>
      <w:r>
        <w:rPr>
          <w:rFonts w:hint="eastAsia" w:ascii="宋体" w:hAnsi="宋体" w:eastAsia="宋体" w:cs="宋体"/>
          <w:sz w:val="32"/>
          <w:szCs w:val="32"/>
        </w:rPr>
        <w:t>个（心胸外科麻醉、神经外科麻醉、骨科麻醉、普通外科麻醉、泌尿外科麻醉、眼和耳鼻喉科麻醉、口腔外科麻醉、妇产科麻醉、小儿麻醉、手术室外麻醉、疼痛诊疗）。专业基地具有带教资格的老师25名，其中主任医师6名，副主任医师8名，主冶医师11名</w:t>
      </w:r>
      <w:r>
        <w:rPr>
          <w:rFonts w:hint="eastAsia" w:ascii="宋体" w:hAnsi="宋体" w:eastAsia="宋体" w:cs="宋体"/>
          <w:sz w:val="32"/>
          <w:szCs w:val="32"/>
          <w:lang w:eastAsia="zh-CN"/>
        </w:rPr>
        <w:t>。</w:t>
      </w:r>
      <w:r>
        <w:rPr>
          <w:rFonts w:hint="eastAsia" w:ascii="宋体" w:hAnsi="宋体" w:eastAsia="宋体" w:cs="宋体"/>
          <w:sz w:val="32"/>
          <w:szCs w:val="32"/>
        </w:rPr>
        <w:t>在医疗技术方面，以围术期理念和可视化技术为抓手，提高科室医疗技术水平和能力：熟练掌握围术期经食道超声监测技术医师2人，熟练掌握超声引导下实施各类神经阻滞、血管穿刺等操作医师16人，</w:t>
      </w:r>
      <w:r>
        <w:rPr>
          <w:rFonts w:hint="eastAsia" w:ascii="宋体" w:hAnsi="宋体" w:eastAsia="宋体" w:cs="宋体"/>
          <w:sz w:val="32"/>
          <w:szCs w:val="32"/>
          <w:lang w:val="en-US" w:eastAsia="zh-CN"/>
        </w:rPr>
        <w:t>熟</w:t>
      </w:r>
      <w:r>
        <w:rPr>
          <w:rFonts w:hint="eastAsia" w:ascii="宋体" w:hAnsi="宋体" w:eastAsia="宋体" w:cs="宋体"/>
          <w:sz w:val="32"/>
          <w:szCs w:val="32"/>
        </w:rPr>
        <w:t>练掌握可视化气道管理技术及困难气道管理技术医师21人，熟练掌握围术期血流动力学监测及管理技术医师19人。以围术期理念和可视化技术为抓手，提高科室医疗技术水平和能力：X线引导下三叉神经痛的射频治疗，X线引导下三叉神经痛的球囊压迫治疗，超声联合CT引导下带状疱疹后遗神经的射频治疗，超声联合CT引导下射频治疗面肌痉挛，超声联合X线引导下难治性盘源性疼痛治疗，超声引导下各类肌筋膜炎慢性疼痛治疗，体外冲击波治疗各类慢性慢性疼痛。</w:t>
      </w:r>
    </w:p>
    <w:p w14:paraId="5CCF5160">
      <w:pPr>
        <w:ind w:firstLine="640" w:firstLineChars="200"/>
        <w:rPr>
          <w:rFonts w:hint="eastAsia" w:ascii="宋体" w:hAnsi="宋体" w:eastAsia="宋体" w:cs="宋体"/>
          <w:sz w:val="32"/>
          <w:szCs w:val="32"/>
        </w:rPr>
      </w:pPr>
      <w:r>
        <w:rPr>
          <w:rFonts w:hint="eastAsia" w:ascii="宋体" w:hAnsi="宋体" w:eastAsia="宋体" w:cs="宋体"/>
          <w:sz w:val="32"/>
          <w:szCs w:val="32"/>
          <w:highlight w:val="none"/>
        </w:rPr>
        <w:t>2000年成立麻醉</w:t>
      </w:r>
      <w:r>
        <w:rPr>
          <w:rFonts w:hint="eastAsia" w:ascii="宋体" w:hAnsi="宋体" w:eastAsia="宋体" w:cs="宋体"/>
          <w:sz w:val="32"/>
          <w:szCs w:val="32"/>
          <w:highlight w:val="none"/>
          <w:lang w:val="en-US" w:eastAsia="zh-CN"/>
        </w:rPr>
        <w:t>科</w:t>
      </w:r>
      <w:r>
        <w:rPr>
          <w:rFonts w:hint="eastAsia" w:ascii="宋体" w:hAnsi="宋体" w:eastAsia="宋体" w:cs="宋体"/>
          <w:sz w:val="32"/>
          <w:szCs w:val="32"/>
          <w:highlight w:val="none"/>
        </w:rPr>
        <w:t>教学小组，2014年获批国家住院医师规范化培训基地；</w:t>
      </w:r>
      <w:r>
        <w:rPr>
          <w:rFonts w:hint="eastAsia" w:ascii="宋体" w:hAnsi="宋体" w:eastAsia="宋体" w:cs="宋体"/>
          <w:kern w:val="0"/>
          <w:sz w:val="32"/>
          <w:szCs w:val="32"/>
          <w:highlight w:val="none"/>
        </w:rPr>
        <w:t>设有专业基地教学小组、考核小组；设有麻醉</w:t>
      </w:r>
      <w:r>
        <w:rPr>
          <w:rFonts w:hint="eastAsia" w:ascii="宋体" w:hAnsi="宋体" w:eastAsia="宋体" w:cs="宋体"/>
          <w:kern w:val="0"/>
          <w:sz w:val="32"/>
          <w:szCs w:val="32"/>
          <w:highlight w:val="none"/>
          <w:lang w:val="en-US" w:eastAsia="zh-CN"/>
        </w:rPr>
        <w:t>科</w:t>
      </w:r>
      <w:r>
        <w:rPr>
          <w:rFonts w:hint="eastAsia" w:ascii="宋体" w:hAnsi="宋体" w:eastAsia="宋体" w:cs="宋体"/>
          <w:kern w:val="0"/>
          <w:sz w:val="32"/>
          <w:szCs w:val="32"/>
          <w:highlight w:val="none"/>
        </w:rPr>
        <w:t>专业基地主任、教学主任、教学秘书；设有各亚专业麻醉小组，小组组长均由具有省级带教师资证的医师担任；各年级设年级带教组长，组长负责该年级的教学工作的具体落实</w:t>
      </w:r>
      <w:r>
        <w:rPr>
          <w:rFonts w:hint="eastAsia" w:ascii="宋体" w:hAnsi="宋体" w:eastAsia="宋体" w:cs="宋体"/>
          <w:kern w:val="0"/>
          <w:sz w:val="32"/>
          <w:szCs w:val="32"/>
          <w:highlight w:val="none"/>
          <w:lang w:val="en-US" w:eastAsia="zh-CN"/>
        </w:rPr>
        <w:t>和监管</w:t>
      </w:r>
      <w:r>
        <w:rPr>
          <w:rFonts w:hint="eastAsia" w:ascii="宋体" w:hAnsi="宋体" w:eastAsia="宋体" w:cs="宋体"/>
          <w:kern w:val="0"/>
          <w:sz w:val="32"/>
          <w:szCs w:val="32"/>
          <w:highlight w:val="none"/>
        </w:rPr>
        <w:t>。麻醉科</w:t>
      </w:r>
      <w:r>
        <w:rPr>
          <w:rFonts w:hint="eastAsia" w:ascii="宋体" w:hAnsi="宋体" w:eastAsia="宋体" w:cs="宋体"/>
          <w:sz w:val="32"/>
          <w:szCs w:val="32"/>
          <w:highlight w:val="none"/>
        </w:rPr>
        <w:t>承担多所医学院校的麻醉学研究生和本科生教学；</w:t>
      </w:r>
      <w:r>
        <w:rPr>
          <w:rFonts w:hint="eastAsia" w:ascii="宋体" w:hAnsi="宋体" w:eastAsia="宋体" w:cs="宋体"/>
          <w:sz w:val="32"/>
          <w:szCs w:val="32"/>
          <w:highlight w:val="none"/>
          <w:lang w:val="en-US" w:eastAsia="zh-CN"/>
        </w:rPr>
        <w:t>带教工作出色，连续荣获湛江中心人民医院2021-2024三</w:t>
      </w:r>
      <w:r>
        <w:rPr>
          <w:rFonts w:hint="eastAsia" w:ascii="宋体" w:hAnsi="宋体" w:eastAsia="宋体" w:cs="宋体"/>
          <w:sz w:val="32"/>
          <w:szCs w:val="32"/>
          <w:highlight w:val="none"/>
          <w:lang w:eastAsia="zh-CN"/>
        </w:rPr>
        <w:t>年度住院医师规范化培训优秀专业基地，</w:t>
      </w:r>
      <w:r>
        <w:rPr>
          <w:rFonts w:hint="eastAsia" w:ascii="宋体" w:hAnsi="宋体" w:eastAsia="宋体" w:cs="宋体"/>
          <w:sz w:val="32"/>
          <w:szCs w:val="32"/>
          <w:highlight w:val="none"/>
        </w:rPr>
        <w:t>2019-2021年度</w:t>
      </w:r>
      <w:r>
        <w:rPr>
          <w:rFonts w:hint="eastAsia" w:ascii="宋体" w:hAnsi="宋体" w:eastAsia="宋体" w:cs="宋体"/>
          <w:sz w:val="32"/>
          <w:szCs w:val="32"/>
          <w:highlight w:val="none"/>
          <w:lang w:val="en-US" w:eastAsia="zh-CN"/>
        </w:rPr>
        <w:t>连续两年</w:t>
      </w:r>
      <w:r>
        <w:rPr>
          <w:rFonts w:hint="eastAsia" w:ascii="宋体" w:hAnsi="宋体" w:eastAsia="宋体" w:cs="宋体"/>
          <w:sz w:val="32"/>
          <w:szCs w:val="32"/>
          <w:highlight w:val="none"/>
        </w:rPr>
        <w:t>荣获先进带教科室、教学秘书；</w:t>
      </w:r>
      <w:r>
        <w:rPr>
          <w:rFonts w:hint="eastAsia" w:ascii="宋体" w:hAnsi="宋体" w:eastAsia="宋体" w:cs="宋体"/>
          <w:sz w:val="32"/>
          <w:szCs w:val="32"/>
          <w:highlight w:val="none"/>
          <w:lang w:val="en-US" w:eastAsia="zh-CN"/>
        </w:rPr>
        <w:t>鼓励</w:t>
      </w:r>
      <w:r>
        <w:rPr>
          <w:rFonts w:hint="eastAsia" w:ascii="宋体" w:hAnsi="宋体" w:eastAsia="宋体" w:cs="宋体"/>
          <w:sz w:val="32"/>
          <w:szCs w:val="32"/>
          <w:highlight w:val="none"/>
        </w:rPr>
        <w:t>学员</w:t>
      </w:r>
      <w:r>
        <w:rPr>
          <w:rFonts w:hint="eastAsia" w:ascii="宋体" w:hAnsi="宋体" w:eastAsia="宋体" w:cs="宋体"/>
          <w:sz w:val="32"/>
          <w:szCs w:val="32"/>
          <w:highlight w:val="none"/>
          <w:lang w:val="en-US" w:eastAsia="zh-CN"/>
        </w:rPr>
        <w:t>们积极</w:t>
      </w:r>
      <w:r>
        <w:rPr>
          <w:rFonts w:hint="eastAsia" w:ascii="宋体" w:hAnsi="宋体" w:eastAsia="宋体" w:cs="宋体"/>
          <w:sz w:val="32"/>
          <w:szCs w:val="32"/>
          <w:highlight w:val="none"/>
        </w:rPr>
        <w:t>参加住培医师</w:t>
      </w:r>
      <w:r>
        <w:rPr>
          <w:rFonts w:hint="eastAsia" w:ascii="宋体" w:hAnsi="宋体" w:eastAsia="宋体" w:cs="宋体"/>
          <w:sz w:val="32"/>
          <w:szCs w:val="32"/>
          <w:highlight w:val="none"/>
          <w:lang w:val="en-US" w:eastAsia="zh-CN"/>
        </w:rPr>
        <w:t>各种</w:t>
      </w:r>
      <w:r>
        <w:rPr>
          <w:rFonts w:hint="eastAsia" w:ascii="宋体" w:hAnsi="宋体" w:eastAsia="宋体" w:cs="宋体"/>
          <w:sz w:val="32"/>
          <w:szCs w:val="32"/>
          <w:highlight w:val="none"/>
        </w:rPr>
        <w:t>技能、理论比赛，</w:t>
      </w:r>
      <w:r>
        <w:rPr>
          <w:rFonts w:hint="eastAsia" w:ascii="宋体" w:hAnsi="宋体" w:eastAsia="宋体" w:cs="宋体"/>
          <w:sz w:val="32"/>
          <w:szCs w:val="32"/>
          <w:highlight w:val="none"/>
          <w:lang w:val="en-US" w:eastAsia="zh-CN"/>
        </w:rPr>
        <w:t>并</w:t>
      </w:r>
      <w:r>
        <w:rPr>
          <w:rFonts w:hint="eastAsia" w:ascii="宋体" w:hAnsi="宋体" w:eastAsia="宋体" w:cs="宋体"/>
          <w:sz w:val="32"/>
          <w:szCs w:val="32"/>
          <w:highlight w:val="none"/>
        </w:rPr>
        <w:t>获得荣誉多项。负责粤西地区麻醉医师进修等教学任务。</w:t>
      </w:r>
    </w:p>
    <w:p w14:paraId="5442CA40">
      <w:pPr>
        <w:rPr>
          <w:rFonts w:hint="eastAsia" w:ascii="宋体" w:hAnsi="宋体" w:eastAsia="宋体" w:cs="宋体"/>
          <w:b/>
          <w:bCs/>
          <w:sz w:val="32"/>
          <w:szCs w:val="32"/>
        </w:rPr>
      </w:pPr>
      <w:r>
        <w:rPr>
          <w:rFonts w:hint="eastAsia" w:ascii="宋体" w:hAnsi="宋体" w:eastAsia="宋体" w:cs="宋体"/>
          <w:b/>
          <w:bCs/>
          <w:sz w:val="32"/>
          <w:szCs w:val="32"/>
        </w:rPr>
        <w:t>教学特色：</w:t>
      </w:r>
    </w:p>
    <w:p w14:paraId="5903908C">
      <w:pPr>
        <w:rPr>
          <w:rFonts w:hint="eastAsia" w:ascii="宋体" w:hAnsi="宋体" w:eastAsia="宋体" w:cs="宋体"/>
          <w:sz w:val="32"/>
          <w:szCs w:val="32"/>
        </w:rPr>
      </w:pPr>
      <w:r>
        <w:rPr>
          <w:rFonts w:hint="eastAsia" w:ascii="宋体" w:hAnsi="宋体" w:eastAsia="宋体" w:cs="宋体"/>
          <w:sz w:val="32"/>
          <w:szCs w:val="32"/>
        </w:rPr>
        <w:t xml:space="preserve">  </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 xml:space="preserve"> 麻醉专业基地设备先进，所有手术间均配备高级麻醉机和全功能生命监测仪。气道管理设备丰富（可视喉镜、可视双腔支气管导管、可视软镜等），血流动力学管理设备完善，其他围术期管理设备先进（便携式床旁超声、呼末二氧化碳监测、麻醉深度监测、肌松监测、体温监测、血气分析仪、血液</w:t>
      </w:r>
      <w:r>
        <w:rPr>
          <w:rFonts w:hint="eastAsia" w:ascii="宋体" w:hAnsi="宋体" w:eastAsia="宋体" w:cs="宋体"/>
          <w:sz w:val="32"/>
          <w:szCs w:val="32"/>
          <w:lang w:val="en-US" w:eastAsia="zh-CN"/>
        </w:rPr>
        <w:t>自</w:t>
      </w:r>
      <w:r>
        <w:rPr>
          <w:rFonts w:hint="eastAsia" w:ascii="宋体" w:hAnsi="宋体" w:eastAsia="宋体" w:cs="宋体"/>
          <w:sz w:val="32"/>
          <w:szCs w:val="32"/>
        </w:rPr>
        <w:t>体回收机等）。</w:t>
      </w:r>
    </w:p>
    <w:p w14:paraId="5611840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特色一：规范的入科教育课程</w:t>
      </w:r>
    </w:p>
    <w:p w14:paraId="3A37B85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规范的教育，建立的入科教育课程体系内容包括专业知识、技能操作及人文素养</w:t>
      </w:r>
      <w:r>
        <w:rPr>
          <w:rFonts w:hint="eastAsia" w:ascii="宋体" w:hAnsi="宋体" w:eastAsia="宋体" w:cs="宋体"/>
          <w:sz w:val="32"/>
          <w:szCs w:val="32"/>
          <w:lang w:eastAsia="zh-CN"/>
        </w:rPr>
        <w:t>。</w:t>
      </w:r>
      <w:r>
        <w:rPr>
          <w:rFonts w:hint="eastAsia" w:ascii="宋体" w:hAnsi="宋体" w:eastAsia="宋体" w:cs="宋体"/>
          <w:sz w:val="32"/>
          <w:szCs w:val="32"/>
        </w:rPr>
        <w:t>培训周期为入科后一周，经考核合格后方可进入临床。</w:t>
      </w:r>
    </w:p>
    <w:p w14:paraId="3AA82C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特色二：教学内容分层递进，线上线下教学相结合</w:t>
      </w:r>
    </w:p>
    <w:p w14:paraId="37E0BFF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教学课程按照分年度递进的形式进行培训，每个年级设立教学组长，负责该教学组的全部教学活动。规培教师和规培学员采用一对一制度，学习难度依年级递进。</w:t>
      </w:r>
    </w:p>
    <w:p w14:paraId="1B4EADA6">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32"/>
          <w:szCs w:val="32"/>
        </w:rPr>
      </w:pPr>
      <w:r>
        <w:drawing>
          <wp:inline distT="0" distB="0" distL="114300" distR="114300">
            <wp:extent cx="2763520" cy="2073275"/>
            <wp:effectExtent l="0" t="0" r="17780" b="3175"/>
            <wp:docPr id="6" name="图片 1" descr="微信图片_2024031206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微信图片_20240312065440"/>
                    <pic:cNvPicPr>
                      <a:picLocks noChangeAspect="1"/>
                    </pic:cNvPicPr>
                  </pic:nvPicPr>
                  <pic:blipFill>
                    <a:blip r:embed="rId12"/>
                    <a:stretch>
                      <a:fillRect/>
                    </a:stretch>
                  </pic:blipFill>
                  <pic:spPr>
                    <a:xfrm>
                      <a:off x="0" y="0"/>
                      <a:ext cx="2763520" cy="2073275"/>
                    </a:xfrm>
                    <a:prstGeom prst="rect">
                      <a:avLst/>
                    </a:prstGeom>
                  </pic:spPr>
                </pic:pic>
              </a:graphicData>
            </a:graphic>
          </wp:inline>
        </w:drawing>
      </w:r>
      <w:r>
        <w:drawing>
          <wp:inline distT="0" distB="0" distL="114300" distR="114300">
            <wp:extent cx="2755265" cy="2071370"/>
            <wp:effectExtent l="0" t="0" r="6985" b="508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2755265" cy="2071370"/>
                    </a:xfrm>
                    <a:prstGeom prst="rect">
                      <a:avLst/>
                    </a:prstGeom>
                  </pic:spPr>
                </pic:pic>
              </a:graphicData>
            </a:graphic>
          </wp:inline>
        </w:drawing>
      </w:r>
    </w:p>
    <w:p w14:paraId="1874CDE5">
      <w:pPr>
        <w:keepNext w:val="0"/>
        <w:keepLines w:val="0"/>
        <w:pageBreakBefore w:val="0"/>
        <w:widowControl w:val="0"/>
        <w:kinsoku/>
        <w:wordWrap/>
        <w:overflowPunct/>
        <w:topLinePunct w:val="0"/>
        <w:autoSpaceDE/>
        <w:autoSpaceDN/>
        <w:bidi w:val="0"/>
        <w:adjustRightInd/>
        <w:snapToGrid/>
        <w:ind w:firstLine="1260" w:firstLineChars="6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（病例讨论）                                （线上理论大课）</w:t>
      </w:r>
    </w:p>
    <w:p w14:paraId="2B3C25D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特色三：丰富多彩的教学活动</w:t>
      </w:r>
    </w:p>
    <w:p w14:paraId="54A1015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lang w:eastAsia="zh-CN"/>
        </w:rPr>
      </w:pPr>
      <w:r>
        <w:rPr>
          <w:rFonts w:hint="eastAsia" w:ascii="宋体" w:hAnsi="宋体" w:eastAsia="宋体" w:cs="宋体"/>
          <w:sz w:val="32"/>
          <w:szCs w:val="32"/>
        </w:rPr>
        <w:t>理论授课、分年级开展气道管理、床旁超声、超声引导神经阻滞技能培训等，并定期开展手术室危机处理情景模拟教学</w:t>
      </w:r>
      <w:r>
        <w:rPr>
          <w:rFonts w:hint="eastAsia" w:ascii="宋体" w:hAnsi="宋体" w:eastAsia="宋体" w:cs="宋体"/>
          <w:sz w:val="32"/>
          <w:szCs w:val="32"/>
          <w:lang w:eastAsia="zh-CN"/>
        </w:rPr>
        <w:t>。</w:t>
      </w:r>
    </w:p>
    <w:p w14:paraId="1B257F4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2310765" cy="1845310"/>
            <wp:effectExtent l="0" t="0" r="13335" b="2540"/>
            <wp:docPr id="13" name="图片 12" descr="一群人正在聊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一群人正在聊天&#10;&#10;描述已自动生成"/>
                    <pic:cNvPicPr>
                      <a:picLocks noChangeAspect="1"/>
                    </pic:cNvPicPr>
                  </pic:nvPicPr>
                  <pic:blipFill>
                    <a:blip r:embed="rId14" cstate="print">
                      <a:extLst>
                        <a:ext uri="{28A0092B-C50C-407E-A947-70E740481C1C}">
                          <a14:useLocalDpi xmlns:a14="http://schemas.microsoft.com/office/drawing/2010/main" val="0"/>
                        </a:ext>
                      </a:extLst>
                    </a:blip>
                    <a:srcRect t="5657" r="-2" b="-2"/>
                    <a:stretch>
                      <a:fillRect/>
                    </a:stretch>
                  </pic:blipFill>
                  <pic:spPr>
                    <a:xfrm>
                      <a:off x="0" y="0"/>
                      <a:ext cx="2310765" cy="1845310"/>
                    </a:xfrm>
                    <a:prstGeom prst="rect">
                      <a:avLst/>
                    </a:prstGeom>
                  </pic:spPr>
                </pic:pic>
              </a:graphicData>
            </a:graphic>
          </wp:inline>
        </w:drawing>
      </w:r>
      <w:r>
        <w:drawing>
          <wp:inline distT="0" distB="0" distL="114300" distR="114300">
            <wp:extent cx="2443480" cy="1833245"/>
            <wp:effectExtent l="0" t="0" r="13970" b="1460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stretch>
                      <a:fillRect/>
                    </a:stretch>
                  </pic:blipFill>
                  <pic:spPr>
                    <a:xfrm>
                      <a:off x="0" y="0"/>
                      <a:ext cx="2443480" cy="1833245"/>
                    </a:xfrm>
                    <a:prstGeom prst="rect">
                      <a:avLst/>
                    </a:prstGeom>
                  </pic:spPr>
                </pic:pic>
              </a:graphicData>
            </a:graphic>
          </wp:inline>
        </w:drawing>
      </w:r>
    </w:p>
    <w:p w14:paraId="6A59070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drawing>
          <wp:inline distT="0" distB="0" distL="114300" distR="114300">
            <wp:extent cx="2277110" cy="1782445"/>
            <wp:effectExtent l="0" t="0" r="8890" b="8255"/>
            <wp:docPr id="11" name="图片 10" descr="病房里的一群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病房里的一群人&#10;&#10;中度可信度描述已自动生成"/>
                    <pic:cNvPicPr>
                      <a:picLocks noChangeAspect="1"/>
                    </pic:cNvPicPr>
                  </pic:nvPicPr>
                  <pic:blipFill>
                    <a:blip r:embed="rId16" cstate="print">
                      <a:extLst>
                        <a:ext uri="{28A0092B-C50C-407E-A947-70E740481C1C}">
                          <a14:useLocalDpi xmlns:a14="http://schemas.microsoft.com/office/drawing/2010/main" val="0"/>
                        </a:ext>
                      </a:extLst>
                    </a:blip>
                    <a:srcRect t="5809" r="-2" b="-2"/>
                    <a:stretch>
                      <a:fillRect/>
                    </a:stretch>
                  </pic:blipFill>
                  <pic:spPr>
                    <a:xfrm>
                      <a:off x="0" y="0"/>
                      <a:ext cx="2277110" cy="1782445"/>
                    </a:xfrm>
                    <a:prstGeom prst="rect">
                      <a:avLst/>
                    </a:prstGeom>
                  </pic:spPr>
                </pic:pic>
              </a:graphicData>
            </a:graphic>
          </wp:inline>
        </w:drawing>
      </w:r>
      <w:r>
        <w:rPr>
          <w:rFonts w:hint="eastAsia" w:ascii="宋体" w:hAnsi="宋体" w:eastAsia="宋体" w:cs="宋体"/>
          <w:sz w:val="32"/>
          <w:szCs w:val="32"/>
        </w:rPr>
        <w:drawing>
          <wp:inline distT="0" distB="0" distL="114300" distR="114300">
            <wp:extent cx="2451735" cy="1781810"/>
            <wp:effectExtent l="0" t="0" r="5715" b="8890"/>
            <wp:docPr id="10" name="图片 4" descr="会议室里的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会议室里的人们&#10;&#10;描述已自动生成"/>
                    <pic:cNvPicPr>
                      <a:picLocks noChangeAspect="1"/>
                    </pic:cNvPicPr>
                  </pic:nvPicPr>
                  <pic:blipFill>
                    <a:blip r:embed="rId17" cstate="print">
                      <a:extLst>
                        <a:ext uri="{28A0092B-C50C-407E-A947-70E740481C1C}">
                          <a14:useLocalDpi xmlns:a14="http://schemas.microsoft.com/office/drawing/2010/main" val="0"/>
                        </a:ext>
                      </a:extLst>
                    </a:blip>
                    <a:srcRect t="5879" r="-6" b="-6"/>
                    <a:stretch>
                      <a:fillRect/>
                    </a:stretch>
                  </pic:blipFill>
                  <pic:spPr>
                    <a:xfrm>
                      <a:off x="0" y="0"/>
                      <a:ext cx="2451735" cy="1781810"/>
                    </a:xfrm>
                    <a:prstGeom prst="rect">
                      <a:avLst/>
                    </a:prstGeom>
                  </pic:spPr>
                </pic:pic>
              </a:graphicData>
            </a:graphic>
          </wp:inline>
        </w:drawing>
      </w:r>
    </w:p>
    <w:p w14:paraId="6810D0C5">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宋体" w:hAnsi="宋体" w:eastAsia="宋体" w:cs="宋体"/>
          <w:sz w:val="32"/>
          <w:szCs w:val="32"/>
        </w:rPr>
      </w:pPr>
      <w:r>
        <w:drawing>
          <wp:inline distT="0" distB="0" distL="114300" distR="114300">
            <wp:extent cx="2776855" cy="1899285"/>
            <wp:effectExtent l="0" t="0" r="4445"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8"/>
                    <a:stretch>
                      <a:fillRect/>
                    </a:stretch>
                  </pic:blipFill>
                  <pic:spPr>
                    <a:xfrm>
                      <a:off x="0" y="0"/>
                      <a:ext cx="2776855" cy="1899285"/>
                    </a:xfrm>
                    <a:prstGeom prst="rect">
                      <a:avLst/>
                    </a:prstGeom>
                  </pic:spPr>
                </pic:pic>
              </a:graphicData>
            </a:graphic>
          </wp:inline>
        </w:drawing>
      </w:r>
      <w:r>
        <w:drawing>
          <wp:inline distT="0" distB="0" distL="114300" distR="114300">
            <wp:extent cx="2517140" cy="1888490"/>
            <wp:effectExtent l="0" t="0" r="16510" b="16510"/>
            <wp:docPr id="15" name="图片 6" descr="复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复盘"/>
                    <pic:cNvPicPr>
                      <a:picLocks noChangeAspect="1"/>
                    </pic:cNvPicPr>
                  </pic:nvPicPr>
                  <pic:blipFill>
                    <a:blip r:embed="rId19"/>
                    <a:stretch>
                      <a:fillRect/>
                    </a:stretch>
                  </pic:blipFill>
                  <pic:spPr>
                    <a:xfrm>
                      <a:off x="0" y="0"/>
                      <a:ext cx="2517140" cy="1888490"/>
                    </a:xfrm>
                    <a:prstGeom prst="rect">
                      <a:avLst/>
                    </a:prstGeom>
                  </pic:spPr>
                </pic:pic>
              </a:graphicData>
            </a:graphic>
          </wp:inline>
        </w:drawing>
      </w:r>
    </w:p>
    <w:p w14:paraId="6126238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特色四：持续教学质量控制</w:t>
      </w:r>
    </w:p>
    <w:p w14:paraId="3E7C458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rPr>
        <w:t>常规对所有理论课、病例讨论课、技能培训课和教学查房进行评价，阶段性对学员学习效果进行评价；学员上完每次课后在煜林系统对授课老师进行评价；评价结果将作为带教老师的年度考核、带教资格、奖励性带教绩效发放的重要参考依据。</w:t>
      </w:r>
      <w:r>
        <w:rPr>
          <w:rFonts w:hint="eastAsia" w:ascii="宋体" w:hAnsi="宋体" w:eastAsia="宋体" w:cs="宋体"/>
          <w:sz w:val="32"/>
          <w:szCs w:val="32"/>
          <w:lang w:val="en-US" w:eastAsia="zh-CN"/>
        </w:rPr>
        <w:t>教学小组定期对每位带教老师进行教学督导。督导结果作为年度优秀指导老师评价依据之一</w:t>
      </w:r>
      <w:r>
        <w:rPr>
          <w:rFonts w:hint="eastAsia" w:ascii="宋体" w:hAnsi="宋体" w:eastAsia="宋体" w:cs="宋体"/>
          <w:sz w:val="32"/>
          <w:szCs w:val="32"/>
        </w:rPr>
        <w:t>。</w:t>
      </w:r>
    </w:p>
    <w:p w14:paraId="0094528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宋体" w:hAnsi="宋体" w:eastAsia="宋体" w:cs="宋体"/>
          <w:sz w:val="32"/>
          <w:szCs w:val="32"/>
          <w:lang w:val="en-US" w:eastAsia="zh-CN"/>
        </w:rPr>
      </w:pPr>
      <w:r>
        <w:rPr>
          <w:rFonts w:hint="eastAsia" w:ascii="宋体" w:hAnsi="宋体" w:eastAsia="宋体" w:cs="宋体"/>
          <w:sz w:val="32"/>
          <w:szCs w:val="32"/>
        </w:rPr>
        <w:t>特色</w:t>
      </w:r>
      <w:r>
        <w:rPr>
          <w:rFonts w:hint="eastAsia" w:ascii="宋体" w:hAnsi="宋体" w:eastAsia="宋体" w:cs="宋体"/>
          <w:sz w:val="32"/>
          <w:szCs w:val="32"/>
          <w:lang w:val="en-US" w:eastAsia="zh-CN"/>
        </w:rPr>
        <w:t>五</w:t>
      </w:r>
      <w:r>
        <w:rPr>
          <w:rFonts w:hint="eastAsia" w:ascii="宋体" w:hAnsi="宋体" w:eastAsia="宋体" w:cs="宋体"/>
          <w:sz w:val="32"/>
          <w:szCs w:val="32"/>
        </w:rPr>
        <w:t>：建立完善的教学绩效</w:t>
      </w:r>
      <w:r>
        <w:rPr>
          <w:rFonts w:hint="eastAsia" w:ascii="宋体" w:hAnsi="宋体" w:eastAsia="宋体" w:cs="宋体"/>
          <w:sz w:val="32"/>
          <w:szCs w:val="32"/>
          <w:lang w:val="en-US" w:eastAsia="zh-CN"/>
        </w:rPr>
        <w:t>管理体系</w:t>
      </w:r>
    </w:p>
    <w:p w14:paraId="2A3539E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对于住培医师，通过对各位学员特殊病例汇报的优劣进行排名，根据排名给予相应的奖励。对于带教老师，则通过对各位老师的带教次数（工作量）、带教质量、科内及院内督导评价、学员评价等进行综合排名，再给予相应的奖励性教学绩效。</w:t>
      </w:r>
    </w:p>
    <w:p w14:paraId="3C4BF425">
      <w:pPr>
        <w:rPr>
          <w:rFonts w:hint="eastAsia" w:ascii="宋体" w:hAnsi="宋体" w:eastAsia="宋体" w:cs="宋体"/>
          <w:b/>
          <w:bCs/>
          <w:sz w:val="32"/>
          <w:szCs w:val="32"/>
        </w:rPr>
      </w:pPr>
      <w:r>
        <w:rPr>
          <w:rFonts w:hint="eastAsia" w:ascii="宋体" w:hAnsi="宋体" w:eastAsia="宋体" w:cs="宋体"/>
          <w:b/>
          <w:bCs/>
          <w:sz w:val="32"/>
          <w:szCs w:val="32"/>
        </w:rPr>
        <w:t>培养成效：</w:t>
      </w:r>
    </w:p>
    <w:p w14:paraId="7B2550F3">
      <w:pPr>
        <w:ind w:firstLine="640"/>
        <w:rPr>
          <w:rFonts w:hint="eastAsia" w:ascii="宋体" w:hAnsi="宋体" w:eastAsia="宋体" w:cs="宋体"/>
          <w:sz w:val="32"/>
          <w:szCs w:val="32"/>
        </w:rPr>
      </w:pPr>
      <w:r>
        <w:rPr>
          <w:rFonts w:hint="eastAsia" w:ascii="宋体" w:hAnsi="宋体" w:eastAsia="宋体" w:cs="宋体"/>
          <w:sz w:val="32"/>
          <w:szCs w:val="32"/>
        </w:rPr>
        <w:t>作为首批国家住培医师规范化培训基地，</w:t>
      </w:r>
      <w:r>
        <w:rPr>
          <w:rFonts w:hint="eastAsia" w:ascii="宋体" w:hAnsi="宋体" w:eastAsia="宋体" w:cs="宋体"/>
          <w:sz w:val="32"/>
          <w:szCs w:val="32"/>
          <w:lang w:val="en-US" w:eastAsia="zh-CN"/>
        </w:rPr>
        <w:t>三</w:t>
      </w:r>
      <w:r>
        <w:rPr>
          <w:rFonts w:hint="eastAsia" w:ascii="宋体" w:hAnsi="宋体" w:eastAsia="宋体" w:cs="宋体"/>
          <w:sz w:val="32"/>
          <w:szCs w:val="32"/>
        </w:rPr>
        <w:t>年</w:t>
      </w:r>
      <w:r>
        <w:rPr>
          <w:rFonts w:hint="eastAsia" w:ascii="宋体" w:hAnsi="宋体" w:eastAsia="宋体" w:cs="宋体"/>
          <w:sz w:val="32"/>
          <w:szCs w:val="32"/>
          <w:lang w:val="en-US" w:eastAsia="zh-CN"/>
        </w:rPr>
        <w:t>内</w:t>
      </w:r>
      <w:r>
        <w:rPr>
          <w:rFonts w:hint="eastAsia" w:ascii="宋体" w:hAnsi="宋体" w:eastAsia="宋体" w:cs="宋体"/>
          <w:sz w:val="32"/>
          <w:szCs w:val="32"/>
        </w:rPr>
        <w:t>招收麻醉</w:t>
      </w:r>
      <w:r>
        <w:rPr>
          <w:rFonts w:hint="eastAsia" w:ascii="宋体" w:hAnsi="宋体" w:eastAsia="宋体" w:cs="宋体"/>
          <w:sz w:val="32"/>
          <w:szCs w:val="32"/>
          <w:lang w:val="en-US" w:eastAsia="zh-CN"/>
        </w:rPr>
        <w:t>科</w:t>
      </w:r>
      <w:r>
        <w:rPr>
          <w:rFonts w:hint="eastAsia" w:ascii="宋体" w:hAnsi="宋体" w:eastAsia="宋体" w:cs="宋体"/>
          <w:sz w:val="32"/>
          <w:szCs w:val="32"/>
        </w:rPr>
        <w:t>专业规培医生</w:t>
      </w:r>
      <w:r>
        <w:rPr>
          <w:rFonts w:hint="eastAsia" w:ascii="宋体" w:hAnsi="宋体" w:eastAsia="宋体" w:cs="宋体"/>
          <w:sz w:val="32"/>
          <w:szCs w:val="32"/>
          <w:lang w:val="en-US" w:eastAsia="zh-CN"/>
        </w:rPr>
        <w:t>均在</w:t>
      </w:r>
      <w:r>
        <w:rPr>
          <w:rFonts w:hint="eastAsia" w:ascii="宋体" w:hAnsi="宋体" w:eastAsia="宋体" w:cs="宋体"/>
          <w:sz w:val="32"/>
          <w:szCs w:val="32"/>
        </w:rPr>
        <w:t>1</w:t>
      </w:r>
      <w:r>
        <w:rPr>
          <w:rFonts w:hint="eastAsia" w:ascii="宋体" w:hAnsi="宋体" w:eastAsia="宋体" w:cs="宋体"/>
          <w:sz w:val="32"/>
          <w:szCs w:val="32"/>
          <w:lang w:val="en-US" w:eastAsia="zh-CN"/>
        </w:rPr>
        <w:t>6</w:t>
      </w:r>
      <w:r>
        <w:rPr>
          <w:rFonts w:hint="eastAsia" w:ascii="宋体" w:hAnsi="宋体" w:eastAsia="宋体" w:cs="宋体"/>
          <w:sz w:val="32"/>
          <w:szCs w:val="32"/>
        </w:rPr>
        <w:t>名</w:t>
      </w:r>
      <w:r>
        <w:rPr>
          <w:rFonts w:hint="eastAsia" w:ascii="宋体" w:hAnsi="宋体" w:eastAsia="宋体" w:cs="宋体"/>
          <w:sz w:val="32"/>
          <w:szCs w:val="32"/>
          <w:lang w:val="en-US" w:eastAsia="zh-CN"/>
        </w:rPr>
        <w:t>以上。</w:t>
      </w:r>
      <w:r>
        <w:rPr>
          <w:rFonts w:hint="eastAsia" w:ascii="宋体" w:hAnsi="宋体" w:eastAsia="宋体" w:cs="宋体"/>
          <w:sz w:val="32"/>
          <w:szCs w:val="32"/>
        </w:rPr>
        <w:t>通过全面、规范、严格的培训，培养具有良好的职业素养</w:t>
      </w:r>
      <w:r>
        <w:rPr>
          <w:rFonts w:hint="eastAsia" w:ascii="宋体" w:hAnsi="宋体" w:eastAsia="宋体" w:cs="宋体"/>
          <w:sz w:val="32"/>
          <w:szCs w:val="32"/>
          <w:lang w:eastAsia="zh-CN"/>
        </w:rPr>
        <w:t>、</w:t>
      </w:r>
      <w:r>
        <w:rPr>
          <w:rFonts w:hint="eastAsia" w:ascii="宋体" w:hAnsi="宋体" w:eastAsia="宋体" w:cs="宋体"/>
          <w:sz w:val="32"/>
          <w:szCs w:val="32"/>
        </w:rPr>
        <w:t>全面扎实的专业能力、有效地沟通和团队合作精神</w:t>
      </w:r>
      <w:r>
        <w:rPr>
          <w:rFonts w:hint="eastAsia" w:ascii="宋体" w:hAnsi="宋体" w:eastAsia="宋体" w:cs="宋体"/>
          <w:sz w:val="32"/>
          <w:szCs w:val="32"/>
          <w:lang w:eastAsia="zh-CN"/>
        </w:rPr>
        <w:t>、</w:t>
      </w:r>
      <w:r>
        <w:rPr>
          <w:rFonts w:hint="eastAsia" w:ascii="宋体" w:hAnsi="宋体" w:eastAsia="宋体" w:cs="宋体"/>
          <w:sz w:val="32"/>
          <w:szCs w:val="32"/>
        </w:rPr>
        <w:t>具有良好的教学意识和自我提升意识的临床麻醉医师。培养的住院医师积极参加各项专业知识竞赛，并获得不错的成绩。成为住院医师规范化培训基地以来，麻醉专业</w:t>
      </w:r>
      <w:r>
        <w:rPr>
          <w:rFonts w:hint="eastAsia" w:ascii="宋体" w:hAnsi="宋体" w:eastAsia="宋体" w:cs="宋体"/>
          <w:sz w:val="32"/>
          <w:szCs w:val="32"/>
          <w:lang w:eastAsia="zh-CN"/>
        </w:rPr>
        <w:t>住</w:t>
      </w:r>
      <w:r>
        <w:rPr>
          <w:rFonts w:hint="eastAsia" w:ascii="宋体" w:hAnsi="宋体" w:eastAsia="宋体" w:cs="宋体"/>
          <w:sz w:val="32"/>
          <w:szCs w:val="32"/>
        </w:rPr>
        <w:t>培医师结业考</w:t>
      </w:r>
      <w:r>
        <w:rPr>
          <w:rFonts w:hint="eastAsia" w:ascii="宋体" w:hAnsi="宋体" w:eastAsia="宋体" w:cs="宋体"/>
          <w:sz w:val="32"/>
          <w:szCs w:val="32"/>
          <w:lang w:eastAsia="zh-CN"/>
        </w:rPr>
        <w:t>核</w:t>
      </w:r>
      <w:r>
        <w:rPr>
          <w:rFonts w:hint="eastAsia" w:ascii="宋体" w:hAnsi="宋体" w:eastAsia="宋体" w:cs="宋体"/>
          <w:sz w:val="32"/>
          <w:szCs w:val="32"/>
        </w:rPr>
        <w:t>通过率</w:t>
      </w:r>
      <w:r>
        <w:rPr>
          <w:rFonts w:hint="eastAsia" w:ascii="宋体" w:hAnsi="宋体" w:eastAsia="宋体" w:cs="宋体"/>
          <w:sz w:val="32"/>
          <w:szCs w:val="32"/>
          <w:lang w:val="en-US" w:eastAsia="zh-CN"/>
        </w:rPr>
        <w:t>均</w:t>
      </w:r>
      <w:r>
        <w:rPr>
          <w:rFonts w:hint="eastAsia" w:ascii="宋体" w:hAnsi="宋体" w:eastAsia="宋体" w:cs="宋体"/>
          <w:sz w:val="32"/>
          <w:szCs w:val="32"/>
        </w:rPr>
        <w:t>为100%。</w:t>
      </w:r>
    </w:p>
    <w:p w14:paraId="513F28D1">
      <w:pPr>
        <w:ind w:firstLine="640"/>
        <w:rPr>
          <w:rFonts w:hint="eastAsia" w:ascii="宋体" w:hAnsi="宋体" w:eastAsia="宋体" w:cs="宋体"/>
          <w:sz w:val="32"/>
          <w:szCs w:val="32"/>
        </w:rPr>
      </w:pPr>
    </w:p>
    <w:p w14:paraId="26DE8977">
      <w:pPr>
        <w:ind w:firstLine="643" w:firstLineChars="200"/>
        <w:rPr>
          <w:rFonts w:hint="default" w:ascii="宋体" w:hAnsi="宋体" w:eastAsia="宋体" w:cs="宋体"/>
          <w:sz w:val="32"/>
          <w:szCs w:val="32"/>
          <w:lang w:val="en-US" w:eastAsia="zh-CN"/>
        </w:rPr>
      </w:pPr>
      <w:bookmarkStart w:id="0" w:name="_GoBack"/>
      <w:bookmarkEnd w:id="0"/>
      <w:r>
        <w:rPr>
          <w:rFonts w:hint="eastAsia" w:ascii="宋体" w:hAnsi="宋体" w:eastAsia="宋体" w:cs="宋体"/>
          <w:b/>
          <w:bCs/>
          <w:sz w:val="32"/>
          <w:szCs w:val="32"/>
          <w:lang w:val="en-US" w:eastAsia="zh-CN"/>
        </w:rPr>
        <w:t>欢迎优秀的麻醉毕业生加入我们麻醉大家庭！</w:t>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0N2I2M2NlMjMwMjVjODA2MTBmZmI0ZmExYTVjYmEifQ=="/>
  </w:docVars>
  <w:rsids>
    <w:rsidRoot w:val="53CA543F"/>
    <w:rsid w:val="002F1664"/>
    <w:rsid w:val="005D1643"/>
    <w:rsid w:val="0A917CCA"/>
    <w:rsid w:val="0AD37EAA"/>
    <w:rsid w:val="179319E1"/>
    <w:rsid w:val="1D546A7C"/>
    <w:rsid w:val="1D644BAC"/>
    <w:rsid w:val="1EDF4CDE"/>
    <w:rsid w:val="1F7369CD"/>
    <w:rsid w:val="31C230EA"/>
    <w:rsid w:val="33ED5D06"/>
    <w:rsid w:val="344B1579"/>
    <w:rsid w:val="397A55B5"/>
    <w:rsid w:val="4191768D"/>
    <w:rsid w:val="461E7F02"/>
    <w:rsid w:val="49562D6B"/>
    <w:rsid w:val="4C881E07"/>
    <w:rsid w:val="5386726D"/>
    <w:rsid w:val="53CA543F"/>
    <w:rsid w:val="5B4E15E5"/>
    <w:rsid w:val="745D327B"/>
    <w:rsid w:val="759A0A07"/>
    <w:rsid w:val="7D2D5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7"/>
    <w:qFormat/>
    <w:uiPriority w:val="0"/>
    <w:rPr>
      <w:sz w:val="18"/>
      <w:szCs w:val="18"/>
    </w:rPr>
  </w:style>
  <w:style w:type="paragraph" w:styleId="4">
    <w:name w:val="Normal (Web)"/>
    <w:basedOn w:val="1"/>
    <w:qFormat/>
    <w:uiPriority w:val="0"/>
    <w:pPr>
      <w:widowControl/>
      <w:spacing w:before="0" w:beforeAutospacing="1" w:after="0" w:afterAutospacing="1"/>
      <w:ind w:left="0" w:right="0"/>
      <w:jc w:val="left"/>
    </w:pPr>
    <w:rPr>
      <w:rFonts w:ascii="宋体" w:hAnsi="宋体" w:eastAsia="宋体" w:cs="宋体"/>
      <w:kern w:val="0"/>
      <w:sz w:val="24"/>
      <w:lang w:val="en-US" w:eastAsia="zh-CN" w:bidi="ar"/>
    </w:rPr>
  </w:style>
  <w:style w:type="character" w:customStyle="1" w:styleId="7">
    <w:name w:val="批注框文本 Char"/>
    <w:basedOn w:val="6"/>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2302</Words>
  <Characters>2368</Characters>
  <Lines>15</Lines>
  <Paragraphs>4</Paragraphs>
  <TotalTime>1</TotalTime>
  <ScaleCrop>false</ScaleCrop>
  <LinksUpToDate>false</LinksUpToDate>
  <CharactersWithSpaces>2408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2023-03-12T05:04:00Z</dcterms:created>
  <dc:creator>石头森林</dc:creator>
  <cp:lastModifiedBy>DS</cp:lastModifiedBy>
  <dcterms:modified xsi:type="dcterms:W3CDTF">2025-02-26T08:31:54Z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52BB5FADD71E4212A0D73950CB871EDA_13</vt:lpwstr>
  </property>
  <property fmtid="{D5CDD505-2E9C-101B-9397-08002B2CF9AE}" pid="4" name="KSOTemplateDocerSaveRecord">
    <vt:lpwstr>eyJoZGlkIjoiZmY4ODI3OGQ4M2NkMjE0MzM0ZmJiOTZjZWViZmFkY2YifQ==</vt:lpwstr>
  </property>
</Properties>
</file>