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17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附件1:</w:t>
      </w:r>
    </w:p>
    <w:p w14:paraId="387DAE17">
      <w:pPr>
        <w:widowControl/>
        <w:shd w:val="clear" w:color="auto" w:fill="FFFFFF"/>
        <w:spacing w:line="420" w:lineRule="atLeast"/>
        <w:jc w:val="center"/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/>
        </w:rPr>
        <w:t>南昌大学第二附属医院2026年高层次人才招聘岗位表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50"/>
        <w:gridCol w:w="774"/>
        <w:gridCol w:w="2765"/>
        <w:gridCol w:w="2245"/>
        <w:gridCol w:w="488"/>
      </w:tblGrid>
      <w:tr w14:paraId="1698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高层次人才招聘计划</w:t>
            </w:r>
          </w:p>
        </w:tc>
      </w:tr>
      <w:tr w14:paraId="3E0D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8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（一）杰出人才、领军人才、学科带头人、学科技术骨干等招聘计划</w:t>
            </w:r>
          </w:p>
        </w:tc>
        <w:tc>
          <w:tcPr>
            <w:tcW w:w="16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人数不限</w:t>
            </w:r>
          </w:p>
        </w:tc>
      </w:tr>
      <w:tr w14:paraId="7260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3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2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（二）博士等招聘计划</w:t>
            </w:r>
          </w:p>
        </w:tc>
        <w:tc>
          <w:tcPr>
            <w:tcW w:w="16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86人</w:t>
            </w:r>
          </w:p>
        </w:tc>
      </w:tr>
      <w:tr w14:paraId="5950C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A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</w:tr>
      <w:tr w14:paraId="766C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B-26-001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8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内科学(100201、105101）、急诊医学（100218、105107 ）、重症医学(1002Z2、105108）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C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2、限应届毕业生报考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274A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B-26-002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3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中医学类（1005）、中西医结合类（1006）、中医类（1057）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8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2、住院医师规范化培训合格证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F88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B-26-003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9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D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1、内科学专业需为消化系病方向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2、医师资格证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DBF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B-26-004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6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4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1、内科学专业需为心血管病方向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3、限应届毕业生报考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5DE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B-26-005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8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内科学（100201、105101）、外科学（100210、105111）、肿瘤学（100214、105121）、放射肿瘤学（105122）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8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448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B-26-006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心身医学科医师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1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精神病与精神卫生学（100205、105105）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B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3、限应届毕业生报考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D70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B-26-007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急危重症医学救治中心急诊医师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6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内科学（100201、105101）、外科学（100210、105111）、急诊医学（100218、105107）、重症医学（1002Z2、105108）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9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1、外科学专业需为血管外科方向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3、住院医师规范化培训合格证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59C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B-26-008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急危重症医学救治中心重症医学科医师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0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内科学（100201、105101）、神经病学（100204、105104）、外科学（100210、105111）、急诊医学（100218、105107）、重症医学（1002Z2、105108）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D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1、内科学专业需为呼吸系病或心血管病方向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2、外科学专业需为肝胆外科或胃肠外科方向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3、医师资格证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738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B-26-009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感染性疾病科医师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9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内科学（100201、105101）、外科学（100210、105111）、急诊医学（100218、105107）、重症医学（1002Z2、105108）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1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448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B-26-010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医学遗传科医师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内科学(100201、105101)、儿科学（100202、105102） 、妇产科学（100211、105115）、肿瘤学（100214、105121）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5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1、内科学专业需为心血管病方向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3、限应届毕业生报考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E09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B-26-011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C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内科学（（100201、105101）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F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1、内科学专业需为肾病方向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2、医师资格证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D1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B-26-012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内分泌代谢科医师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F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5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1、内科学专业需为内分泌与代谢病方向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3、住院医师规范化培训合格证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B6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B-26-013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内分泌代谢科专职科研岗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9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基础医学类（0778、1001）、药学类（0780、1007）、内科学（100201）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B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内科学专业需为内分泌与代谢病方向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209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B-26-014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老年医学科医师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1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内科学（100201、105101）、老年医学（100203、105103）、神经病学（100204、105104）、中医内科学（105701）、中西医结合临床（105709）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E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2、住院医师规范化培训合格证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C1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B-26-015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风湿免疫科医师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E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临床医学类（1002、1051）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A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2、住院医师规范化培训合格证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143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B-26-016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E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内科学（100201、105101）、儿科学（100202、105102）、精神病与精神卫生学（100205、105105）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0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AA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B-26-017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血液内科医师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F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基础医学类（1001）、内科学（100201、105101）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7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E3F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B-26-018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血液系统疾病江西省重点实验室专职科研岗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5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生理学（071003）、细胞生物学（071009）、生物化学与分子生物学（071010）、药学类（0780、1007）、基础医学类（1001）、内科学（100201、105101）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5B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C4E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B-26-019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9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临床医学类（1002、1051）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D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2、住院医师规范化培训合格证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79C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B-26-020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7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康复医学与理疗学（100215、105110）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6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C10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B-26-021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康复医学科康复治疗师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4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康复医学与理疗学（100215、105110）、运动医学(100216、105114)、运动康复学（0403Z4）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C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康复医学治疗技术资格证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A9F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B-26-022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甲状腺外科医师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1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外科学（100210、105111）、肿瘤学（100214、105121）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5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1、外科学专业需为甲状腺外科方向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2、肿瘤学专业需为头颈外科方向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4、住院医师规范化培训合格证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2B0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B-26-023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生殖中心医师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E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妇产科学（100211、105115）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1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3、限应届毕业生报考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F1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B-26-024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C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口腔医学类（1003、1052）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E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1、口腔医师资格证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2、限应届毕业生报考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77E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B-26-025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F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7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1、外科学专业需为泌尿外科方向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3、限应届毕业生报考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FB6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B-26-026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器官移植科医师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B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3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1、外科学专业需为肝移植或肾移植方向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4、限应届毕业生报考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65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B-26-027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B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C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1、外科学专业需为胸心外科方向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4、限应届毕业生报考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75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B-26-028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肝胆胰外科专职科研岗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5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基础医学类（1001）、外科学（100210、105111）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6F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695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B-26-029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肝胆胰外科医师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9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7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2、住院医师规范化培训合格证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53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B-26-030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耳鼻咽喉头颈外科医师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B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耳鼻咽喉科学(100213、105117)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A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FC0E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B-26-031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0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麻醉学(100217、105118)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5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EA3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B-26-032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麻醉科专职科研岗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A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基础医学类（0778、1001）、生物医学工程类（0831）、麻醉学(100217)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19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83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B-26-033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血管外科医师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7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7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1、外科学专业需为血管外科方向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3、住院医师规范化培训合格证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751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B-26-034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2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F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1、外科学专业需为神经外科方向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2、医师资格证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E95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B-26-035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D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外科学（100210、105111）、运动医学（100216、105114）、骨科学（105113）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2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1、外科学专业需为骨科方向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2、医师资格证书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407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B-26-036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眼科中心医师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2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眼科学（100212、105116）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4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3、限应届毕业生报考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98F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B-26-037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医疗美容科医师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C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0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1、外科学专业需为整形外科或烧伤外科方向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4、限应届毕业生报考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AF70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B-26-038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皮肤病与性病学（100206、105106）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B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251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B-26-039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乳腺外科医师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8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外科学(100210、105111）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0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1、外科学专业需为乳腺外科、肿瘤或整形外科方向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3、限应届毕业生报考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13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B-26-040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胃肠外科医师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6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6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2、住院医师规范化培训合格证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EF3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B-26-041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介入科医师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3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影像医学与核医学（100207）、外科学（100210、105111）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5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1、外科学专业需为血管外科方向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2、医师资格证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7664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B-26-042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A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临床医学类（1002、1051）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3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B27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B-26-043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超声科专职科研岗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D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信息与通信工程类（0810）、控制科学与工程类（0811）、计算机科学与技术类（0812）、生物医学工程类（0831）、临床医学类（1002、1051）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AC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387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B-26-044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医学影像中心诊断医师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B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影像医学与核医学（100207）、放射影像学（105123）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7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DD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B-26-045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1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影像医学与核医学（100207）、放射影像学（105123）、核医学（105125）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9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3、限应届毕业生报考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522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B-26-046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1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临床医学类（1002、1051）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C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3、限应届毕业生报考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840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B-26-047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健康管理中心（体检中心）医师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F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临床医学类（1002、1051）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B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2、住院医师规范化培训合格证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ED59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B-26-048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药学部临床药师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C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药学类（1007、1055）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4B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82C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B-26-049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临床试验研究中心专职科研岗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5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药学类（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A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药学专业需为药理学或临床药学方向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EC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B-26-050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分子医学江西省重点实验室专职科研岗-1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7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遗传学(071007)、生物化学与分子生物学（071010）、药理学（100706）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54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86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B-26-051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分子医学江西省重点实验室专职科研岗-2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5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生理学（071003）、神经生物学(071006)、生物物理学（071011)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76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9C2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B-26-052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分子医学江西省重点实验室技师-1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2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病原生物学（100103）、临床检验诊断学（100208、105120）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42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F0B7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B-26-053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分子医学江西省重点实验室技师-2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5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遗传学（071007）、儿科学（100202）、医学遗传学（105126）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A6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AC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B-26-054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转化医学研究院专职科研岗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9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化学类（0703）、细胞生物学（071009）、药学类（0780、1007）、中药学类（0781、1008）、材料科学与工程类（0805）、生物医学工程类（0831）、食品科学与工程类（0832）、临床医学类（1002）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37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01D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0" w:hRule="atLeast"/>
        </w:trPr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B-26-055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紧缺人才岗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8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F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扎实的专业基础和良好的科研素养，以及一定的专业技术实践能力；或具有相关工作经验，在本学科领域具备一定的专业积累，能够参与解决本领域涉及医院发展的重要问题，如在临床科研、医院管理、精益运营、品牌建设等方面发挥积极作用，助力医院医疗水平、管理能力与整体影响力的提升；或掌握国内外先进技术或具备特殊专业能力的学科骨干人才。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</w:tbl>
    <w:p w14:paraId="02D44590">
      <w:pPr>
        <w:widowControl/>
        <w:shd w:val="clear" w:color="auto" w:fill="FFFFFF"/>
        <w:spacing w:line="420" w:lineRule="atLeast"/>
        <w:jc w:val="both"/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/>
        </w:rPr>
      </w:pPr>
    </w:p>
    <w:p w14:paraId="1DAB9E0B">
      <w:pPr>
        <w:widowControl/>
        <w:shd w:val="clear" w:color="auto" w:fill="FFFFFF"/>
        <w:spacing w:line="420" w:lineRule="atLeast"/>
        <w:jc w:val="right"/>
        <w:rPr>
          <w:rFonts w:hint="default" w:ascii="宋体" w:hAnsi="宋体" w:eastAsia="宋体" w:cs="宋体"/>
          <w:b w:val="0"/>
          <w:bCs/>
          <w:color w:val="000000"/>
          <w:kern w:val="0"/>
          <w:sz w:val="26"/>
          <w:szCs w:val="2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73ACA"/>
    <w:rsid w:val="05CE4396"/>
    <w:rsid w:val="2C9E7B0D"/>
    <w:rsid w:val="30D85EB0"/>
    <w:rsid w:val="318D3659"/>
    <w:rsid w:val="35E51265"/>
    <w:rsid w:val="3D973ACA"/>
    <w:rsid w:val="6020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3108</Words>
  <Characters>4391</Characters>
  <Lines>0</Lines>
  <Paragraphs>0</Paragraphs>
  <TotalTime>40</TotalTime>
  <ScaleCrop>false</ScaleCrop>
  <LinksUpToDate>false</LinksUpToDate>
  <CharactersWithSpaces>4393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2026-01-14T02:33:00Z</dcterms:created>
  <dc:creator>扶摇九万里</dc:creator>
  <cp:lastModifiedBy>扶摇九万里</cp:lastModifiedBy>
  <dcterms:modified xsi:type="dcterms:W3CDTF">2026-01-20T09:17:28Z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1B5BC3D1910A4EF3BC184CC97A9E6440_11</vt:lpwstr>
  </property>
  <property fmtid="{D5CDD505-2E9C-101B-9397-08002B2CF9AE}" pid="4" name="KSOTemplateDocerSaveRecord">
    <vt:lpwstr>eyJoZGlkIjoiNzk3OWI1NGNmYWRkMWYyZGIyMDJlMjJhNGMwNTA5NTkiLCJ1c2VySWQiOiI0Mjk3MDA5NjQifQ==</vt:lpwstr>
  </property>
</Properties>
</file>