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00B5F">
      <w:pPr>
        <w:pStyle w:val="2"/>
        <w:rPr>
          <w:rFonts w:hint="eastAsia"/>
          <w:lang w:val="en-US" w:eastAsia="zh-CN"/>
        </w:rPr>
      </w:pPr>
      <w:r>
        <w:rPr>
          <w:rFonts w:hint="eastAsia"/>
          <w:lang w:val="en-US" w:eastAsia="zh-CN"/>
        </w:rPr>
        <w:t>贵阳市第二人民医院（金阳医院）</w:t>
      </w:r>
    </w:p>
    <w:p w14:paraId="2A5165B0">
      <w:pPr>
        <w:pStyle w:val="2"/>
        <w:rPr>
          <w:rFonts w:hint="eastAsia"/>
          <w:lang w:val="en-US" w:eastAsia="zh-CN"/>
        </w:rPr>
      </w:pPr>
      <w:r>
        <w:rPr>
          <w:rFonts w:hint="eastAsia"/>
          <w:lang w:val="en-US" w:eastAsia="zh-CN"/>
        </w:rPr>
        <w:t>内科专业基地简介</w:t>
      </w:r>
    </w:p>
    <w:p w14:paraId="6C2AA535">
      <w:pPr>
        <w:pStyle w:val="5"/>
        <w:keepNext w:val="0"/>
        <w:keepLines w:val="0"/>
        <w:pageBreakBefore w:val="0"/>
        <w:shd w:val="clear" w:color="auto"/>
        <w:kinsoku/>
        <w:wordWrap/>
        <w:overflowPunct/>
        <w:topLinePunct w:val="0"/>
        <w:autoSpaceDE/>
        <w:autoSpaceDN/>
        <w:bidi w:val="0"/>
        <w:adjustRightInd/>
        <w:snapToGrid/>
        <w:spacing w:before="0" w:beforeAutospacing="0" w:after="0" w:afterAutospacing="0" w:line="520" w:lineRule="exact"/>
        <w:ind w:left="0" w:leftChars="0" w:firstLine="643" w:firstLineChars="200"/>
        <w:jc w:val="both"/>
        <w:textAlignment w:val="auto"/>
        <w:rPr>
          <w:rFonts w:hint="eastAsia" w:ascii="仿宋" w:hAnsi="仿宋" w:eastAsia="仿宋" w:cs="仿宋"/>
          <w:b/>
          <w:bCs/>
          <w:kern w:val="2"/>
          <w:sz w:val="32"/>
          <w:szCs w:val="32"/>
          <w:lang w:val="en-US" w:eastAsia="zh-CN"/>
        </w:rPr>
      </w:pPr>
      <w:r>
        <w:rPr>
          <w:rFonts w:hint="eastAsia" w:ascii="仿宋" w:hAnsi="仿宋" w:eastAsia="仿宋" w:cs="仿宋"/>
          <w:b/>
          <w:bCs/>
          <w:kern w:val="2"/>
          <w:sz w:val="32"/>
          <w:szCs w:val="32"/>
          <w:lang w:val="en-US" w:eastAsia="zh-CN"/>
        </w:rPr>
        <w:t>一、专业基地基本情况：</w:t>
      </w:r>
    </w:p>
    <w:p w14:paraId="7E221E7B">
      <w:pPr>
        <w:pStyle w:val="5"/>
        <w:keepNext w:val="0"/>
        <w:keepLines w:val="0"/>
        <w:pageBreakBefore w:val="0"/>
        <w:shd w:val="clear" w:color="auto"/>
        <w:kinsoku/>
        <w:wordWrap/>
        <w:overflowPunct/>
        <w:topLinePunct w:val="0"/>
        <w:autoSpaceDE/>
        <w:autoSpaceDN/>
        <w:bidi w:val="0"/>
        <w:adjustRightInd/>
        <w:snapToGrid/>
        <w:spacing w:before="0" w:beforeAutospacing="0" w:after="0" w:afterAutospacing="0" w:line="520" w:lineRule="exact"/>
        <w:ind w:left="0" w:leftChars="0" w:firstLine="640" w:firstLineChars="200"/>
        <w:jc w:val="both"/>
        <w:textAlignment w:val="auto"/>
        <w:rPr>
          <w:rFonts w:hint="eastAsia" w:ascii="仿宋" w:hAnsi="仿宋" w:eastAsia="仿宋" w:cs="仿宋"/>
          <w:color w:val="000000" w:themeColor="text1"/>
          <w:kern w:val="2"/>
          <w:sz w:val="32"/>
          <w:szCs w:val="32"/>
          <w:highlight w:val="none"/>
          <w14:textFill>
            <w14:solidFill>
              <w14:schemeClr w14:val="tx1"/>
            </w14:solidFill>
          </w14:textFill>
        </w:rPr>
      </w:pPr>
      <w:r>
        <w:rPr>
          <w:rFonts w:hint="eastAsia" w:ascii="仿宋" w:hAnsi="仿宋" w:eastAsia="仿宋" w:cs="仿宋"/>
          <w:kern w:val="2"/>
          <w:sz w:val="32"/>
          <w:szCs w:val="32"/>
        </w:rPr>
        <w:t>贵阳市第二人民医院内科专业基地涵盖：呼吸</w:t>
      </w:r>
      <w:r>
        <w:rPr>
          <w:rFonts w:hint="eastAsia" w:ascii="仿宋" w:hAnsi="仿宋" w:eastAsia="仿宋" w:cs="仿宋"/>
          <w:kern w:val="2"/>
          <w:sz w:val="32"/>
          <w:szCs w:val="32"/>
          <w:lang w:val="en-US" w:eastAsia="zh-CN"/>
        </w:rPr>
        <w:t>与危重症医学科、</w:t>
      </w:r>
      <w:r>
        <w:rPr>
          <w:rFonts w:hint="eastAsia" w:ascii="仿宋" w:hAnsi="仿宋" w:eastAsia="仿宋" w:cs="仿宋"/>
          <w:kern w:val="2"/>
          <w:sz w:val="32"/>
          <w:szCs w:val="32"/>
        </w:rPr>
        <w:t>消化内科、心血管内科、内分泌</w:t>
      </w:r>
      <w:r>
        <w:rPr>
          <w:rFonts w:hint="eastAsia" w:ascii="仿宋" w:hAnsi="仿宋" w:eastAsia="仿宋" w:cs="仿宋"/>
          <w:kern w:val="2"/>
          <w:sz w:val="32"/>
          <w:szCs w:val="32"/>
          <w:lang w:val="en-US" w:eastAsia="zh-CN"/>
        </w:rPr>
        <w:t>代谢</w:t>
      </w:r>
      <w:r>
        <w:rPr>
          <w:rFonts w:hint="eastAsia" w:ascii="仿宋" w:hAnsi="仿宋" w:eastAsia="仿宋" w:cs="仿宋"/>
          <w:kern w:val="2"/>
          <w:sz w:val="32"/>
          <w:szCs w:val="32"/>
        </w:rPr>
        <w:t>科、肾病风湿科、</w:t>
      </w:r>
      <w:r>
        <w:rPr>
          <w:rFonts w:hint="eastAsia" w:ascii="仿宋" w:hAnsi="仿宋" w:eastAsia="仿宋" w:cs="仿宋"/>
          <w:kern w:val="2"/>
          <w:sz w:val="32"/>
          <w:szCs w:val="32"/>
          <w:lang w:val="en-US" w:eastAsia="zh-CN"/>
        </w:rPr>
        <w:t>血液内</w:t>
      </w:r>
      <w:r>
        <w:rPr>
          <w:rFonts w:hint="eastAsia" w:ascii="仿宋" w:hAnsi="仿宋" w:eastAsia="仿宋" w:cs="仿宋"/>
          <w:kern w:val="2"/>
          <w:sz w:val="32"/>
          <w:szCs w:val="32"/>
        </w:rPr>
        <w:t>科</w:t>
      </w:r>
      <w:r>
        <w:rPr>
          <w:rFonts w:hint="eastAsia" w:ascii="仿宋" w:hAnsi="仿宋" w:eastAsia="仿宋" w:cs="仿宋"/>
          <w:kern w:val="2"/>
          <w:sz w:val="32"/>
          <w:szCs w:val="32"/>
          <w:lang w:eastAsia="zh-CN"/>
        </w:rPr>
        <w:t>、</w:t>
      </w:r>
      <w:r>
        <w:rPr>
          <w:rFonts w:hint="eastAsia" w:ascii="仿宋" w:hAnsi="仿宋" w:eastAsia="仿宋" w:cs="仿宋"/>
          <w:kern w:val="2"/>
          <w:sz w:val="32"/>
          <w:szCs w:val="32"/>
          <w:lang w:val="en-US" w:eastAsia="zh-CN"/>
        </w:rPr>
        <w:t>感染科7</w:t>
      </w:r>
      <w:r>
        <w:rPr>
          <w:rFonts w:hint="eastAsia" w:ascii="仿宋" w:hAnsi="仿宋" w:eastAsia="仿宋" w:cs="仿宋"/>
          <w:kern w:val="2"/>
          <w:sz w:val="32"/>
          <w:szCs w:val="32"/>
        </w:rPr>
        <w:t>个</w:t>
      </w:r>
      <w:r>
        <w:rPr>
          <w:rFonts w:hint="eastAsia" w:ascii="仿宋" w:hAnsi="仿宋" w:eastAsia="仿宋" w:cs="仿宋"/>
          <w:kern w:val="2"/>
          <w:sz w:val="32"/>
          <w:szCs w:val="32"/>
          <w:lang w:eastAsia="zh-CN"/>
        </w:rPr>
        <w:t>科室</w:t>
      </w:r>
      <w:r>
        <w:rPr>
          <w:rFonts w:hint="eastAsia" w:ascii="仿宋" w:hAnsi="仿宋" w:eastAsia="仿宋" w:cs="仿宋"/>
          <w:kern w:val="2"/>
          <w:sz w:val="32"/>
          <w:szCs w:val="32"/>
        </w:rPr>
        <w:t>。</w:t>
      </w:r>
      <w:r>
        <w:rPr>
          <w:rFonts w:hint="eastAsia" w:ascii="仿宋" w:hAnsi="仿宋" w:eastAsia="仿宋" w:cs="仿宋"/>
          <w:color w:val="000000" w:themeColor="text1"/>
          <w:kern w:val="2"/>
          <w:sz w:val="32"/>
          <w:szCs w:val="32"/>
          <w14:textFill>
            <w14:solidFill>
              <w14:schemeClr w14:val="tx1"/>
            </w14:solidFill>
          </w14:textFill>
        </w:rPr>
        <w:t>其中</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呼吸与危重症医学科、</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内分泌代谢科</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心血管内科、肾病风湿科</w:t>
      </w:r>
      <w:r>
        <w:rPr>
          <w:rFonts w:hint="eastAsia" w:ascii="仿宋" w:hAnsi="仿宋" w:eastAsia="仿宋" w:cs="仿宋"/>
          <w:kern w:val="2"/>
          <w:sz w:val="32"/>
          <w:szCs w:val="32"/>
          <w:lang w:val="en-US" w:eastAsia="zh-CN"/>
        </w:rPr>
        <w:t>、</w:t>
      </w:r>
      <w:r>
        <w:rPr>
          <w:rFonts w:hint="eastAsia" w:ascii="仿宋" w:hAnsi="仿宋" w:eastAsia="仿宋" w:cs="仿宋"/>
          <w:kern w:val="2"/>
          <w:sz w:val="32"/>
          <w:szCs w:val="32"/>
        </w:rPr>
        <w:t>消化内科</w:t>
      </w:r>
      <w:r>
        <w:rPr>
          <w:rFonts w:hint="eastAsia" w:ascii="仿宋" w:hAnsi="仿宋" w:eastAsia="仿宋" w:cs="仿宋"/>
          <w:i w:val="0"/>
          <w:iCs w:val="0"/>
          <w:caps w:val="0"/>
          <w:color w:val="000000" w:themeColor="text1"/>
          <w:spacing w:val="0"/>
          <w:sz w:val="32"/>
          <w:szCs w:val="32"/>
          <w:shd w:val="clear" w:fill="FFFFFF"/>
          <w:lang w:val="en-US" w:eastAsia="zh-Hans"/>
          <w14:textFill>
            <w14:solidFill>
              <w14:schemeClr w14:val="tx1"/>
            </w14:solidFill>
          </w14:textFill>
        </w:rPr>
        <w:t>为省级</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临床</w:t>
      </w:r>
      <w:r>
        <w:rPr>
          <w:rFonts w:hint="eastAsia" w:ascii="仿宋" w:hAnsi="仿宋" w:eastAsia="仿宋" w:cs="仿宋"/>
          <w:i w:val="0"/>
          <w:iCs w:val="0"/>
          <w:caps w:val="0"/>
          <w:color w:val="000000" w:themeColor="text1"/>
          <w:spacing w:val="0"/>
          <w:sz w:val="32"/>
          <w:szCs w:val="32"/>
          <w:shd w:val="clear" w:fill="FFFFFF"/>
          <w:lang w:val="en-US" w:eastAsia="zh-Hans"/>
          <w14:textFill>
            <w14:solidFill>
              <w14:schemeClr w14:val="tx1"/>
            </w14:solidFill>
          </w14:textFill>
        </w:rPr>
        <w:t>重点</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专科</w:t>
      </w:r>
      <w:r>
        <w:rPr>
          <w:rFonts w:hint="default" w:ascii="仿宋" w:hAnsi="仿宋" w:eastAsia="仿宋" w:cs="仿宋"/>
          <w:i w:val="0"/>
          <w:iCs w:val="0"/>
          <w:caps w:val="0"/>
          <w:color w:val="000000" w:themeColor="text1"/>
          <w:spacing w:val="0"/>
          <w:sz w:val="32"/>
          <w:szCs w:val="32"/>
          <w:shd w:val="clear" w:fill="FFFFFF"/>
          <w:lang w:eastAsia="zh-Hans"/>
          <w14:textFill>
            <w14:solidFill>
              <w14:schemeClr w14:val="tx1"/>
            </w14:solidFill>
          </w14:textFill>
        </w:rPr>
        <w:t>。</w:t>
      </w:r>
      <w:r>
        <w:rPr>
          <w:rFonts w:hint="eastAsia" w:ascii="仿宋" w:hAnsi="仿宋" w:eastAsia="仿宋" w:cs="仿宋"/>
          <w:kern w:val="2"/>
          <w:sz w:val="32"/>
          <w:szCs w:val="32"/>
        </w:rPr>
        <w:t>肾病风湿科</w:t>
      </w:r>
      <w:r>
        <w:rPr>
          <w:rFonts w:hint="default" w:ascii="仿宋" w:hAnsi="仿宋" w:eastAsia="仿宋" w:cs="仿宋"/>
          <w:kern w:val="2"/>
          <w:sz w:val="32"/>
          <w:szCs w:val="32"/>
        </w:rPr>
        <w:t>、</w:t>
      </w:r>
      <w:r>
        <w:rPr>
          <w:rFonts w:hint="eastAsia" w:ascii="仿宋" w:hAnsi="仿宋" w:eastAsia="仿宋" w:cs="仿宋"/>
          <w:kern w:val="2"/>
          <w:sz w:val="32"/>
          <w:szCs w:val="32"/>
          <w:lang w:val="en-US" w:eastAsia="zh-Hans"/>
        </w:rPr>
        <w:t>内分泌代谢科</w:t>
      </w:r>
      <w:r>
        <w:rPr>
          <w:rFonts w:hint="eastAsia" w:ascii="仿宋" w:hAnsi="仿宋" w:eastAsia="仿宋" w:cs="仿宋"/>
          <w:kern w:val="2"/>
          <w:sz w:val="32"/>
          <w:szCs w:val="32"/>
          <w:lang w:val="en-US" w:eastAsia="zh-CN"/>
        </w:rPr>
        <w:t>、心血管内科</w:t>
      </w:r>
      <w:r>
        <w:rPr>
          <w:rFonts w:hint="eastAsia" w:ascii="仿宋" w:hAnsi="仿宋" w:eastAsia="仿宋" w:cs="仿宋"/>
          <w:kern w:val="2"/>
          <w:sz w:val="32"/>
          <w:szCs w:val="32"/>
        </w:rPr>
        <w:t>分别为贵阳市</w:t>
      </w:r>
      <w:r>
        <w:rPr>
          <w:rFonts w:hint="eastAsia" w:ascii="仿宋" w:hAnsi="仿宋" w:eastAsia="仿宋" w:cs="仿宋"/>
          <w:kern w:val="2"/>
          <w:sz w:val="32"/>
          <w:szCs w:val="32"/>
          <w:lang w:val="en-US" w:eastAsia="zh-Hans"/>
        </w:rPr>
        <w:t>肾脏病</w:t>
      </w:r>
      <w:r>
        <w:rPr>
          <w:rFonts w:hint="default" w:ascii="仿宋" w:hAnsi="仿宋" w:eastAsia="仿宋" w:cs="仿宋"/>
          <w:kern w:val="2"/>
          <w:sz w:val="32"/>
          <w:szCs w:val="32"/>
          <w:lang w:eastAsia="zh-Hans"/>
        </w:rPr>
        <w:t>、</w:t>
      </w:r>
      <w:r>
        <w:rPr>
          <w:rFonts w:hint="eastAsia" w:ascii="仿宋" w:hAnsi="仿宋" w:eastAsia="仿宋" w:cs="仿宋"/>
          <w:kern w:val="2"/>
          <w:sz w:val="32"/>
          <w:szCs w:val="32"/>
          <w:lang w:val="en-US" w:eastAsia="zh-Hans"/>
        </w:rPr>
        <w:t>贵阳市</w:t>
      </w:r>
      <w:r>
        <w:rPr>
          <w:rFonts w:hint="eastAsia" w:ascii="仿宋" w:hAnsi="仿宋" w:eastAsia="仿宋" w:cs="仿宋"/>
          <w:kern w:val="2"/>
          <w:sz w:val="32"/>
          <w:szCs w:val="32"/>
        </w:rPr>
        <w:t>内分泌代谢病</w:t>
      </w:r>
      <w:r>
        <w:rPr>
          <w:rFonts w:hint="eastAsia" w:ascii="仿宋" w:hAnsi="仿宋" w:eastAsia="仿宋" w:cs="仿宋"/>
          <w:kern w:val="2"/>
          <w:sz w:val="32"/>
          <w:szCs w:val="32"/>
          <w:lang w:eastAsia="zh-CN"/>
        </w:rPr>
        <w:t>、</w:t>
      </w:r>
      <w:r>
        <w:rPr>
          <w:rFonts w:hint="eastAsia" w:ascii="仿宋" w:hAnsi="仿宋" w:eastAsia="仿宋" w:cs="仿宋"/>
          <w:kern w:val="2"/>
          <w:sz w:val="32"/>
          <w:szCs w:val="32"/>
          <w:lang w:val="en-US" w:eastAsia="zh-CN"/>
        </w:rPr>
        <w:t>贵阳市结构性心脏病介入技术及贵阳市心血管介入技术医疗质量控制中心</w:t>
      </w:r>
      <w:r>
        <w:rPr>
          <w:rFonts w:hint="default" w:ascii="仿宋" w:hAnsi="仿宋" w:eastAsia="仿宋" w:cs="仿宋"/>
          <w:kern w:val="2"/>
          <w:sz w:val="32"/>
          <w:szCs w:val="32"/>
          <w:lang w:eastAsia="zh-Hans"/>
        </w:rPr>
        <w:t>。</w:t>
      </w:r>
      <w:r>
        <w:rPr>
          <w:rFonts w:hint="eastAsia" w:ascii="仿宋" w:hAnsi="仿宋" w:eastAsia="仿宋" w:cs="仿宋"/>
          <w:color w:val="000000" w:themeColor="text1"/>
          <w:kern w:val="2"/>
          <w:sz w:val="32"/>
          <w:szCs w:val="32"/>
          <w:highlight w:val="none"/>
          <w14:textFill>
            <w14:solidFill>
              <w14:schemeClr w14:val="tx1"/>
            </w14:solidFill>
          </w14:textFill>
        </w:rPr>
        <w:t>202</w:t>
      </w:r>
      <w:r>
        <w:rPr>
          <w:rFonts w:hint="eastAsia" w:ascii="仿宋" w:hAnsi="仿宋" w:eastAsia="仿宋" w:cs="仿宋"/>
          <w:color w:val="000000" w:themeColor="text1"/>
          <w:kern w:val="2"/>
          <w:sz w:val="32"/>
          <w:szCs w:val="32"/>
          <w:highlight w:val="none"/>
          <w:lang w:val="en-US" w:eastAsia="zh-CN"/>
          <w14:textFill>
            <w14:solidFill>
              <w14:schemeClr w14:val="tx1"/>
            </w14:solidFill>
          </w14:textFill>
        </w:rPr>
        <w:t>5</w:t>
      </w:r>
      <w:r>
        <w:rPr>
          <w:rFonts w:hint="eastAsia" w:ascii="仿宋" w:hAnsi="仿宋" w:eastAsia="仿宋" w:cs="仿宋"/>
          <w:color w:val="000000" w:themeColor="text1"/>
          <w:kern w:val="2"/>
          <w:sz w:val="32"/>
          <w:szCs w:val="32"/>
          <w:highlight w:val="none"/>
          <w14:textFill>
            <w14:solidFill>
              <w14:schemeClr w14:val="tx1"/>
            </w14:solidFill>
          </w14:textFill>
        </w:rPr>
        <w:t>年内科基地年收治住院人数</w:t>
      </w:r>
      <w:r>
        <w:rPr>
          <w:rFonts w:hint="default" w:ascii="仿宋" w:hAnsi="仿宋" w:eastAsia="仿宋" w:cs="仿宋"/>
          <w:color w:val="000000" w:themeColor="text1"/>
          <w:kern w:val="2"/>
          <w:sz w:val="32"/>
          <w:szCs w:val="32"/>
          <w:highlight w:val="none"/>
          <w14:textFill>
            <w14:solidFill>
              <w14:schemeClr w14:val="tx1"/>
            </w14:solidFill>
          </w14:textFill>
        </w:rPr>
        <w:t>1</w:t>
      </w:r>
      <w:r>
        <w:rPr>
          <w:rFonts w:hint="eastAsia" w:ascii="仿宋" w:hAnsi="仿宋" w:eastAsia="仿宋" w:cs="仿宋"/>
          <w:color w:val="000000" w:themeColor="text1"/>
          <w:kern w:val="2"/>
          <w:sz w:val="32"/>
          <w:szCs w:val="32"/>
          <w:highlight w:val="none"/>
          <w:lang w:val="en-US" w:eastAsia="zh-CN"/>
          <w14:textFill>
            <w14:solidFill>
              <w14:schemeClr w14:val="tx1"/>
            </w14:solidFill>
          </w14:textFill>
        </w:rPr>
        <w:t>2458</w:t>
      </w:r>
      <w:r>
        <w:rPr>
          <w:rFonts w:hint="eastAsia" w:ascii="仿宋" w:hAnsi="仿宋" w:eastAsia="仿宋" w:cs="仿宋"/>
          <w:color w:val="000000" w:themeColor="text1"/>
          <w:kern w:val="2"/>
          <w:sz w:val="32"/>
          <w:szCs w:val="32"/>
          <w:highlight w:val="none"/>
          <w14:textFill>
            <w14:solidFill>
              <w14:schemeClr w14:val="tx1"/>
            </w14:solidFill>
          </w14:textFill>
        </w:rPr>
        <w:t>人，年门诊量</w:t>
      </w:r>
      <w:r>
        <w:rPr>
          <w:rFonts w:hint="eastAsia" w:ascii="仿宋" w:hAnsi="仿宋" w:eastAsia="仿宋" w:cs="仿宋"/>
          <w:color w:val="000000" w:themeColor="text1"/>
          <w:kern w:val="2"/>
          <w:sz w:val="32"/>
          <w:szCs w:val="32"/>
          <w:highlight w:val="none"/>
          <w:lang w:val="en-US" w:eastAsia="zh-CN"/>
          <w14:textFill>
            <w14:solidFill>
              <w14:schemeClr w14:val="tx1"/>
            </w14:solidFill>
          </w14:textFill>
        </w:rPr>
        <w:t>167774</w:t>
      </w:r>
      <w:r>
        <w:rPr>
          <w:rFonts w:hint="eastAsia" w:ascii="仿宋" w:hAnsi="仿宋" w:eastAsia="仿宋" w:cs="仿宋"/>
          <w:color w:val="000000" w:themeColor="text1"/>
          <w:kern w:val="2"/>
          <w:sz w:val="32"/>
          <w:szCs w:val="32"/>
          <w:highlight w:val="none"/>
          <w14:textFill>
            <w14:solidFill>
              <w14:schemeClr w14:val="tx1"/>
            </w14:solidFill>
          </w14:textFill>
        </w:rPr>
        <w:t>人。</w:t>
      </w:r>
    </w:p>
    <w:p w14:paraId="2A5E4736">
      <w:pPr>
        <w:pStyle w:val="5"/>
        <w:keepNext w:val="0"/>
        <w:keepLines w:val="0"/>
        <w:pageBreakBefore w:val="0"/>
        <w:numPr>
          <w:ilvl w:val="0"/>
          <w:numId w:val="1"/>
        </w:numPr>
        <w:shd w:val="clear" w:color="auto"/>
        <w:kinsoku/>
        <w:wordWrap/>
        <w:overflowPunct/>
        <w:topLinePunct w:val="0"/>
        <w:autoSpaceDE/>
        <w:autoSpaceDN/>
        <w:bidi w:val="0"/>
        <w:adjustRightInd/>
        <w:snapToGrid/>
        <w:spacing w:before="0" w:beforeAutospacing="0" w:after="0" w:afterAutospacing="0" w:line="520" w:lineRule="exact"/>
        <w:ind w:left="0" w:leftChars="0" w:firstLine="643" w:firstLineChars="200"/>
        <w:jc w:val="both"/>
        <w:textAlignment w:val="auto"/>
        <w:rPr>
          <w:rFonts w:hint="eastAsia" w:ascii="仿宋" w:hAnsi="仿宋" w:eastAsia="仿宋" w:cs="仿宋"/>
          <w:b/>
          <w:bCs/>
          <w:kern w:val="2"/>
          <w:sz w:val="32"/>
          <w:szCs w:val="32"/>
          <w:lang w:val="en-US" w:eastAsia="zh-CN"/>
        </w:rPr>
      </w:pPr>
      <w:r>
        <w:rPr>
          <w:rFonts w:hint="eastAsia" w:ascii="仿宋" w:hAnsi="仿宋" w:eastAsia="仿宋" w:cs="仿宋"/>
          <w:b/>
          <w:bCs/>
          <w:kern w:val="2"/>
          <w:sz w:val="32"/>
          <w:szCs w:val="32"/>
          <w:lang w:val="en-US" w:eastAsia="zh-CN"/>
        </w:rPr>
        <w:t>师资情况：</w:t>
      </w:r>
    </w:p>
    <w:p w14:paraId="2DD40790">
      <w:pPr>
        <w:pStyle w:val="5"/>
        <w:keepNext w:val="0"/>
        <w:keepLines w:val="0"/>
        <w:pageBreakBefore w:val="0"/>
        <w:numPr>
          <w:ilvl w:val="0"/>
          <w:numId w:val="0"/>
        </w:numPr>
        <w:shd w:val="clear" w:color="auto"/>
        <w:kinsoku/>
        <w:wordWrap/>
        <w:overflowPunct/>
        <w:topLinePunct w:val="0"/>
        <w:autoSpaceDE/>
        <w:autoSpaceDN/>
        <w:bidi w:val="0"/>
        <w:adjustRightInd/>
        <w:snapToGrid/>
        <w:spacing w:before="0" w:beforeAutospacing="0" w:after="0" w:afterAutospacing="0" w:line="520" w:lineRule="exact"/>
        <w:ind w:left="0" w:leftChars="0" w:firstLine="640" w:firstLineChars="200"/>
        <w:jc w:val="both"/>
        <w:textAlignment w:val="auto"/>
        <w:rPr>
          <w:rFonts w:hint="eastAsia" w:ascii="仿宋" w:hAnsi="仿宋" w:eastAsia="仿宋" w:cs="仿宋"/>
          <w:kern w:val="2"/>
          <w:sz w:val="32"/>
          <w:szCs w:val="32"/>
        </w:rPr>
      </w:pPr>
      <w:r>
        <w:rPr>
          <w:rFonts w:hint="eastAsia" w:ascii="仿宋" w:hAnsi="仿宋" w:eastAsia="仿宋" w:cs="仿宋"/>
          <w:color w:val="000000" w:themeColor="text1"/>
          <w:kern w:val="2"/>
          <w:sz w:val="32"/>
          <w:szCs w:val="32"/>
          <w:highlight w:val="none"/>
          <w14:textFill>
            <w14:solidFill>
              <w14:schemeClr w14:val="tx1"/>
            </w14:solidFill>
          </w14:textFill>
        </w:rPr>
        <w:t>内科基地住培带教医师</w:t>
      </w:r>
      <w:r>
        <w:rPr>
          <w:rFonts w:hint="eastAsia" w:ascii="仿宋" w:hAnsi="仿宋" w:eastAsia="仿宋" w:cs="仿宋"/>
          <w:color w:val="000000" w:themeColor="text1"/>
          <w:kern w:val="2"/>
          <w:sz w:val="32"/>
          <w:szCs w:val="32"/>
          <w:highlight w:val="none"/>
          <w:lang w:val="en-US" w:eastAsia="zh-CN"/>
          <w14:textFill>
            <w14:solidFill>
              <w14:schemeClr w14:val="tx1"/>
            </w14:solidFill>
          </w14:textFill>
        </w:rPr>
        <w:t>85</w:t>
      </w:r>
      <w:r>
        <w:rPr>
          <w:rFonts w:hint="eastAsia" w:ascii="仿宋" w:hAnsi="仿宋" w:eastAsia="仿宋" w:cs="仿宋"/>
          <w:color w:val="000000" w:themeColor="text1"/>
          <w:kern w:val="2"/>
          <w:sz w:val="32"/>
          <w:szCs w:val="32"/>
          <w:highlight w:val="none"/>
          <w14:textFill>
            <w14:solidFill>
              <w14:schemeClr w14:val="tx1"/>
            </w14:solidFill>
          </w14:textFill>
        </w:rPr>
        <w:t>人，全</w:t>
      </w:r>
      <w:r>
        <w:rPr>
          <w:rFonts w:hint="eastAsia" w:ascii="仿宋" w:hAnsi="仿宋" w:eastAsia="仿宋" w:cs="仿宋"/>
          <w:color w:val="000000" w:themeColor="text1"/>
          <w:kern w:val="2"/>
          <w:sz w:val="32"/>
          <w:szCs w:val="32"/>
          <w:highlight w:val="none"/>
          <w:lang w:val="en-US" w:eastAsia="zh-CN"/>
          <w14:textFill>
            <w14:solidFill>
              <w14:schemeClr w14:val="tx1"/>
            </w14:solidFill>
          </w14:textFill>
        </w:rPr>
        <w:t>科</w:t>
      </w:r>
      <w:r>
        <w:rPr>
          <w:rFonts w:hint="eastAsia" w:ascii="仿宋" w:hAnsi="仿宋" w:eastAsia="仿宋" w:cs="仿宋"/>
          <w:color w:val="000000" w:themeColor="text1"/>
          <w:kern w:val="2"/>
          <w:sz w:val="32"/>
          <w:szCs w:val="32"/>
          <w:highlight w:val="none"/>
          <w14:textFill>
            <w14:solidFill>
              <w14:schemeClr w14:val="tx1"/>
            </w14:solidFill>
          </w14:textFill>
        </w:rPr>
        <w:t>师资医师</w:t>
      </w:r>
      <w:r>
        <w:rPr>
          <w:rFonts w:hint="eastAsia" w:ascii="仿宋" w:hAnsi="仿宋" w:eastAsia="仿宋" w:cs="仿宋"/>
          <w:color w:val="000000" w:themeColor="text1"/>
          <w:kern w:val="2"/>
          <w:sz w:val="32"/>
          <w:szCs w:val="32"/>
          <w:highlight w:val="none"/>
          <w:lang w:val="en-US" w:eastAsia="zh-CN"/>
          <w14:textFill>
            <w14:solidFill>
              <w14:schemeClr w14:val="tx1"/>
            </w14:solidFill>
          </w14:textFill>
        </w:rPr>
        <w:t>21</w:t>
      </w:r>
      <w:r>
        <w:rPr>
          <w:rFonts w:hint="eastAsia" w:ascii="仿宋" w:hAnsi="仿宋" w:eastAsia="仿宋" w:cs="仿宋"/>
          <w:color w:val="000000" w:themeColor="text1"/>
          <w:kern w:val="2"/>
          <w:sz w:val="32"/>
          <w:szCs w:val="32"/>
          <w:highlight w:val="none"/>
          <w14:textFill>
            <w14:solidFill>
              <w14:schemeClr w14:val="tx1"/>
            </w14:solidFill>
          </w14:textFill>
        </w:rPr>
        <w:t>人，</w:t>
      </w:r>
      <w:r>
        <w:rPr>
          <w:rFonts w:hint="eastAsia" w:ascii="仿宋" w:hAnsi="仿宋" w:eastAsia="仿宋" w:cs="仿宋"/>
          <w:color w:val="000000" w:themeColor="text1"/>
          <w:kern w:val="2"/>
          <w:sz w:val="32"/>
          <w:szCs w:val="32"/>
          <w14:textFill>
            <w14:solidFill>
              <w14:schemeClr w14:val="tx1"/>
            </w14:solidFill>
          </w14:textFill>
        </w:rPr>
        <w:t>其中主任医师1</w:t>
      </w:r>
      <w:r>
        <w:rPr>
          <w:rFonts w:hint="eastAsia" w:ascii="仿宋" w:hAnsi="仿宋" w:eastAsia="仿宋" w:cs="仿宋"/>
          <w:color w:val="000000" w:themeColor="text1"/>
          <w:kern w:val="2"/>
          <w:sz w:val="32"/>
          <w:szCs w:val="32"/>
          <w:lang w:val="en-US" w:eastAsia="zh-CN"/>
          <w14:textFill>
            <w14:solidFill>
              <w14:schemeClr w14:val="tx1"/>
            </w14:solidFill>
          </w14:textFill>
        </w:rPr>
        <w:t>7</w:t>
      </w:r>
      <w:r>
        <w:rPr>
          <w:rFonts w:hint="eastAsia" w:ascii="仿宋" w:hAnsi="仿宋" w:eastAsia="仿宋" w:cs="仿宋"/>
          <w:color w:val="000000" w:themeColor="text1"/>
          <w:kern w:val="2"/>
          <w:sz w:val="32"/>
          <w:szCs w:val="32"/>
          <w14:textFill>
            <w14:solidFill>
              <w14:schemeClr w14:val="tx1"/>
            </w14:solidFill>
          </w14:textFill>
        </w:rPr>
        <w:t>人，副主任医师</w:t>
      </w:r>
      <w:r>
        <w:rPr>
          <w:rFonts w:hint="eastAsia" w:ascii="仿宋" w:hAnsi="仿宋" w:eastAsia="仿宋" w:cs="仿宋"/>
          <w:color w:val="000000" w:themeColor="text1"/>
          <w:kern w:val="2"/>
          <w:sz w:val="32"/>
          <w:szCs w:val="32"/>
          <w:lang w:val="en-US" w:eastAsia="zh-CN"/>
          <w14:textFill>
            <w14:solidFill>
              <w14:schemeClr w14:val="tx1"/>
            </w14:solidFill>
          </w14:textFill>
        </w:rPr>
        <w:t>30</w:t>
      </w:r>
      <w:r>
        <w:rPr>
          <w:rFonts w:hint="eastAsia" w:ascii="仿宋" w:hAnsi="仿宋" w:eastAsia="仿宋" w:cs="仿宋"/>
          <w:color w:val="000000" w:themeColor="text1"/>
          <w:kern w:val="2"/>
          <w:sz w:val="32"/>
          <w:szCs w:val="32"/>
          <w14:textFill>
            <w14:solidFill>
              <w14:schemeClr w14:val="tx1"/>
            </w14:solidFill>
          </w14:textFill>
        </w:rPr>
        <w:t>人。博士</w:t>
      </w:r>
      <w:r>
        <w:rPr>
          <w:rFonts w:hint="eastAsia" w:ascii="仿宋" w:hAnsi="仿宋" w:eastAsia="仿宋" w:cs="仿宋"/>
          <w:color w:val="000000" w:themeColor="text1"/>
          <w:kern w:val="2"/>
          <w:sz w:val="32"/>
          <w:szCs w:val="32"/>
          <w:lang w:val="en-US" w:eastAsia="zh-CN"/>
          <w14:textFill>
            <w14:solidFill>
              <w14:schemeClr w14:val="tx1"/>
            </w14:solidFill>
          </w14:textFill>
        </w:rPr>
        <w:t>12</w:t>
      </w:r>
      <w:r>
        <w:rPr>
          <w:rFonts w:hint="eastAsia" w:ascii="仿宋" w:hAnsi="仿宋" w:eastAsia="仿宋" w:cs="仿宋"/>
          <w:color w:val="000000" w:themeColor="text1"/>
          <w:kern w:val="2"/>
          <w:sz w:val="32"/>
          <w:szCs w:val="32"/>
          <w14:textFill>
            <w14:solidFill>
              <w14:schemeClr w14:val="tx1"/>
            </w14:solidFill>
          </w14:textFill>
        </w:rPr>
        <w:t>人（</w:t>
      </w:r>
      <w:r>
        <w:rPr>
          <w:rFonts w:hint="eastAsia" w:ascii="仿宋" w:hAnsi="仿宋" w:eastAsia="仿宋" w:cs="仿宋"/>
          <w:color w:val="000000" w:themeColor="text1"/>
          <w:kern w:val="2"/>
          <w:sz w:val="32"/>
          <w:szCs w:val="32"/>
          <w:lang w:val="en-US" w:eastAsia="zh-CN"/>
          <w14:textFill>
            <w14:solidFill>
              <w14:schemeClr w14:val="tx1"/>
            </w14:solidFill>
          </w14:textFill>
        </w:rPr>
        <w:t>7</w:t>
      </w:r>
      <w:r>
        <w:rPr>
          <w:rFonts w:hint="eastAsia" w:ascii="仿宋" w:hAnsi="仿宋" w:eastAsia="仿宋" w:cs="仿宋"/>
          <w:color w:val="000000" w:themeColor="text1"/>
          <w:kern w:val="2"/>
          <w:sz w:val="32"/>
          <w:szCs w:val="32"/>
          <w14:textFill>
            <w14:solidFill>
              <w14:schemeClr w14:val="tx1"/>
            </w14:solidFill>
          </w14:textFill>
        </w:rPr>
        <w:t>人在读）。</w:t>
      </w:r>
    </w:p>
    <w:p w14:paraId="1ECEBABA">
      <w:pPr>
        <w:pStyle w:val="5"/>
        <w:keepNext w:val="0"/>
        <w:keepLines w:val="0"/>
        <w:pageBreakBefore w:val="0"/>
        <w:shd w:val="clear" w:color="auto"/>
        <w:kinsoku/>
        <w:wordWrap/>
        <w:overflowPunct/>
        <w:topLinePunct w:val="0"/>
        <w:autoSpaceDE/>
        <w:autoSpaceDN/>
        <w:bidi w:val="0"/>
        <w:adjustRightInd/>
        <w:snapToGrid/>
        <w:spacing w:before="0" w:beforeAutospacing="0" w:after="0" w:afterAutospacing="0" w:line="520" w:lineRule="exact"/>
        <w:ind w:left="0" w:leftChars="0" w:firstLine="643" w:firstLineChars="200"/>
        <w:jc w:val="both"/>
        <w:textAlignment w:val="auto"/>
        <w:rPr>
          <w:rFonts w:hint="eastAsia" w:ascii="仿宋" w:hAnsi="仿宋" w:eastAsia="仿宋" w:cs="仿宋"/>
          <w:b/>
          <w:bCs/>
          <w:kern w:val="2"/>
          <w:sz w:val="32"/>
          <w:szCs w:val="32"/>
        </w:rPr>
      </w:pPr>
      <w:r>
        <w:rPr>
          <w:rFonts w:hint="eastAsia" w:ascii="仿宋" w:hAnsi="仿宋" w:eastAsia="仿宋" w:cs="仿宋"/>
          <w:b/>
          <w:bCs/>
          <w:kern w:val="2"/>
          <w:sz w:val="32"/>
          <w:szCs w:val="32"/>
          <w:lang w:val="en-US" w:eastAsia="zh-CN"/>
        </w:rPr>
        <w:t>三、专业基地特色：</w:t>
      </w:r>
    </w:p>
    <w:p w14:paraId="2E4A46B0">
      <w:pPr>
        <w:keepNext w:val="0"/>
        <w:keepLines w:val="0"/>
        <w:pageBreakBefore w:val="0"/>
        <w:shd w:val="clear"/>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（一）体现岗位胜任力的分层递进培养目标：</w:t>
      </w:r>
    </w:p>
    <w:p w14:paraId="45422538">
      <w:pPr>
        <w:keepNext w:val="0"/>
        <w:keepLines w:val="0"/>
        <w:pageBreakBefore w:val="0"/>
        <w:shd w:val="clear"/>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学员轮转方案按住</w:t>
      </w:r>
      <w:r>
        <w:rPr>
          <w:rFonts w:hint="eastAsia" w:ascii="仿宋" w:hAnsi="仿宋" w:eastAsia="仿宋" w:cs="仿宋"/>
          <w:sz w:val="32"/>
          <w:szCs w:val="32"/>
          <w:lang w:eastAsia="zh-CN"/>
        </w:rPr>
        <w:t>培</w:t>
      </w:r>
      <w:r>
        <w:rPr>
          <w:rFonts w:hint="eastAsia" w:ascii="仿宋" w:hAnsi="仿宋" w:eastAsia="仿宋" w:cs="仿宋"/>
          <w:sz w:val="32"/>
          <w:szCs w:val="32"/>
        </w:rPr>
        <w:t>大纲要求根据学员培训目标，结合专业基地培训内容与标准，制定学员分层递进培训培养目标及轮转实施安排。第一年（12个月）目标：临床知识和技能的巩固与提升，了解医院环境、医疗流程、诊疗常规，通过国家执业医师资格考试。第二年（12个月）目标：熟悉医疗流程、巩固技能，建立临床思维能力，主要培养独立诊治及能力建设，训练内科整体思维，培养相对独立诊断和处理能力，为内科及相关专业强化学习阶段。在年度水平监测考试中取得好成绩。第三年（12个月）：培训管理目标：拓展临床思维，专科深入学习，学科交叉，整体性思维培训，锻炼团队领导能力，培养独立诊治思维及带教能力。顺利通过结业考核。</w:t>
      </w:r>
    </w:p>
    <w:p w14:paraId="7F824C0D">
      <w:pPr>
        <w:keepNext w:val="0"/>
        <w:keepLines w:val="0"/>
        <w:pageBreakBefore w:val="0"/>
        <w:shd w:val="clear"/>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（二）学员日常管理</w:t>
      </w:r>
    </w:p>
    <w:p w14:paraId="78DC399A">
      <w:pPr>
        <w:keepNext w:val="0"/>
        <w:keepLines w:val="0"/>
        <w:pageBreakBefore w:val="0"/>
        <w:numPr>
          <w:ilvl w:val="-1"/>
          <w:numId w:val="0"/>
        </w:numPr>
        <w:shd w:val="clear"/>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严格考勤制度管理</w:t>
      </w:r>
      <w:r>
        <w:rPr>
          <w:rFonts w:hint="eastAsia" w:ascii="仿宋" w:hAnsi="仿宋" w:eastAsia="仿宋" w:cs="仿宋"/>
          <w:color w:val="auto"/>
          <w:sz w:val="32"/>
          <w:szCs w:val="32"/>
          <w:lang w:eastAsia="zh-CN"/>
        </w:rPr>
        <w:t>，对学员进行日常评价并适时反馈，定期</w:t>
      </w:r>
      <w:r>
        <w:rPr>
          <w:rFonts w:hint="eastAsia" w:ascii="仿宋" w:hAnsi="仿宋" w:eastAsia="仿宋" w:cs="仿宋"/>
          <w:color w:val="auto"/>
          <w:sz w:val="32"/>
          <w:szCs w:val="32"/>
        </w:rPr>
        <w:t>召开</w:t>
      </w:r>
      <w:r>
        <w:rPr>
          <w:rFonts w:hint="eastAsia" w:ascii="仿宋" w:hAnsi="仿宋" w:eastAsia="仿宋" w:cs="仿宋"/>
          <w:color w:val="auto"/>
          <w:sz w:val="32"/>
          <w:szCs w:val="32"/>
          <w:lang w:eastAsia="zh-CN"/>
        </w:rPr>
        <w:t>师生</w:t>
      </w:r>
      <w:r>
        <w:rPr>
          <w:rFonts w:hint="eastAsia" w:ascii="仿宋" w:hAnsi="仿宋" w:eastAsia="仿宋" w:cs="仿宋"/>
          <w:color w:val="auto"/>
          <w:sz w:val="32"/>
          <w:szCs w:val="32"/>
        </w:rPr>
        <w:t>沟通交流会</w:t>
      </w:r>
      <w:r>
        <w:rPr>
          <w:rFonts w:hint="eastAsia" w:ascii="仿宋" w:hAnsi="仿宋" w:eastAsia="仿宋" w:cs="仿宋"/>
          <w:color w:val="auto"/>
          <w:sz w:val="32"/>
          <w:szCs w:val="32"/>
          <w:lang w:eastAsia="zh-CN"/>
        </w:rPr>
        <w:t>，鼓励学员参加课题研究</w:t>
      </w:r>
      <w:r>
        <w:rPr>
          <w:rFonts w:hint="eastAsia" w:ascii="仿宋" w:hAnsi="仿宋" w:eastAsia="仿宋" w:cs="仿宋"/>
          <w:color w:val="auto"/>
          <w:sz w:val="32"/>
          <w:szCs w:val="32"/>
        </w:rPr>
        <w:t>。</w:t>
      </w:r>
    </w:p>
    <w:p w14:paraId="451B7365">
      <w:pPr>
        <w:keepNext w:val="0"/>
        <w:keepLines w:val="0"/>
        <w:pageBreakBefore w:val="0"/>
        <w:shd w:val="clear"/>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（三）学员考核</w:t>
      </w:r>
    </w:p>
    <w:p w14:paraId="6BEC0804">
      <w:pPr>
        <w:keepNext w:val="0"/>
        <w:keepLines w:val="0"/>
        <w:pageBreakBefore w:val="0"/>
        <w:shd w:val="clear"/>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1、轮转出科考核：实行教考分离</w:t>
      </w:r>
      <w:r>
        <w:rPr>
          <w:rFonts w:hint="eastAsia" w:ascii="仿宋" w:hAnsi="仿宋" w:eastAsia="仿宋" w:cs="仿宋"/>
          <w:color w:val="auto"/>
          <w:sz w:val="32"/>
          <w:szCs w:val="32"/>
          <w:lang w:eastAsia="zh-CN"/>
        </w:rPr>
        <w:t>，</w:t>
      </w:r>
      <w:r>
        <w:rPr>
          <w:rFonts w:hint="eastAsia" w:ascii="仿宋" w:hAnsi="仿宋" w:eastAsia="仿宋" w:cs="仿宋"/>
          <w:color w:val="auto"/>
          <w:kern w:val="0"/>
          <w:sz w:val="32"/>
          <w:szCs w:val="32"/>
        </w:rPr>
        <w:t>一般安排在出科前一周进行。</w:t>
      </w:r>
      <w:r>
        <w:rPr>
          <w:rFonts w:hint="eastAsia" w:ascii="仿宋" w:hAnsi="仿宋" w:eastAsia="仿宋" w:cs="仿宋"/>
          <w:color w:val="auto"/>
          <w:sz w:val="32"/>
          <w:szCs w:val="32"/>
        </w:rPr>
        <w:t>2、阶段考核。3、年度考核。4、</w:t>
      </w:r>
      <w:r>
        <w:rPr>
          <w:rFonts w:hint="eastAsia" w:ascii="仿宋" w:hAnsi="仿宋" w:eastAsia="仿宋" w:cs="仿宋"/>
          <w:color w:val="auto"/>
          <w:sz w:val="32"/>
          <w:szCs w:val="32"/>
          <w:lang w:eastAsia="zh-CN"/>
        </w:rPr>
        <w:t>执医模拟测试</w:t>
      </w:r>
      <w:r>
        <w:rPr>
          <w:rFonts w:hint="eastAsia" w:ascii="仿宋" w:hAnsi="仿宋" w:eastAsia="仿宋" w:cs="仿宋"/>
          <w:color w:val="auto"/>
          <w:sz w:val="32"/>
          <w:szCs w:val="32"/>
        </w:rPr>
        <w:t>。5、</w:t>
      </w:r>
      <w:r>
        <w:rPr>
          <w:rFonts w:hint="eastAsia" w:ascii="仿宋" w:hAnsi="仿宋" w:eastAsia="仿宋" w:cs="仿宋"/>
          <w:color w:val="auto"/>
          <w:sz w:val="32"/>
          <w:szCs w:val="32"/>
          <w:lang w:eastAsia="zh-CN"/>
        </w:rPr>
        <w:t>业务水平、</w:t>
      </w:r>
      <w:r>
        <w:rPr>
          <w:rFonts w:hint="eastAsia" w:ascii="仿宋" w:hAnsi="仿宋" w:eastAsia="仿宋" w:cs="仿宋"/>
          <w:color w:val="auto"/>
          <w:sz w:val="32"/>
          <w:szCs w:val="32"/>
        </w:rPr>
        <w:t>结业</w:t>
      </w:r>
      <w:r>
        <w:rPr>
          <w:rFonts w:hint="eastAsia" w:ascii="仿宋" w:hAnsi="仿宋" w:eastAsia="仿宋" w:cs="仿宋"/>
          <w:color w:val="auto"/>
          <w:sz w:val="32"/>
          <w:szCs w:val="32"/>
          <w:lang w:eastAsia="zh-CN"/>
        </w:rPr>
        <w:t>模拟测试</w:t>
      </w:r>
      <w:r>
        <w:rPr>
          <w:rFonts w:hint="eastAsia" w:ascii="仿宋" w:hAnsi="仿宋" w:eastAsia="仿宋" w:cs="仿宋"/>
          <w:color w:val="auto"/>
          <w:sz w:val="32"/>
          <w:szCs w:val="32"/>
        </w:rPr>
        <w:t>。</w:t>
      </w:r>
    </w:p>
    <w:p w14:paraId="7EDFD10C">
      <w:pPr>
        <w:keepNext w:val="0"/>
        <w:keepLines w:val="0"/>
        <w:pageBreakBefore w:val="0"/>
        <w:shd w:val="clear"/>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教学实施</w:t>
      </w:r>
    </w:p>
    <w:p w14:paraId="5D5B1D9B">
      <w:pPr>
        <w:keepNext w:val="0"/>
        <w:keepLines w:val="0"/>
        <w:pageBreakBefore w:val="0"/>
        <w:shd w:val="clear"/>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其中质控组负责各科室督导检查及评价汇总；培训组负责教学培训工作的开展；考核组负责考核工作实施情况。基地教学管理人员负责拟定基地教学活动计划，并落实组织实施。按院级层面拟定的教学人员职责落实各自工作，定期召开教学管理小组会议，提出目前教学管理工作中存在的问题并拟定解决方案。</w:t>
      </w:r>
    </w:p>
    <w:p w14:paraId="63A938AE">
      <w:pPr>
        <w:keepNext w:val="0"/>
        <w:keepLines w:val="0"/>
        <w:pageBreakBefore w:val="0"/>
        <w:shd w:val="clear"/>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贵阳市第二人民医院内科专业基地将继续秉承优良传统，不断创新进取，为全省各个地区、各市县医院培养了一大批优秀住院医师，推动医学事业的进步和发展做出更大的贡献。为患者的健康保驾护航，为医学接班人指引方向。</w:t>
      </w:r>
    </w:p>
    <w:p w14:paraId="7CE6D45C">
      <w:pPr>
        <w:keepNext w:val="0"/>
        <w:keepLines w:val="0"/>
        <w:pageBreakBefore w:val="0"/>
        <w:shd w:val="clear"/>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欢迎2026年住培医师报考！</w:t>
      </w:r>
    </w:p>
    <w:p w14:paraId="22A22C86">
      <w:pPr>
        <w:pStyle w:val="5"/>
        <w:keepNext w:val="0"/>
        <w:keepLines w:val="0"/>
        <w:pageBreakBefore w:val="0"/>
        <w:shd w:val="clear" w:color="auto"/>
        <w:kinsoku/>
        <w:wordWrap/>
        <w:overflowPunct/>
        <w:topLinePunct w:val="0"/>
        <w:autoSpaceDE/>
        <w:autoSpaceDN/>
        <w:bidi w:val="0"/>
        <w:adjustRightInd/>
        <w:snapToGrid/>
        <w:spacing w:before="0" w:beforeAutospacing="0" w:after="0" w:afterAutospacing="0" w:line="240" w:lineRule="auto"/>
        <w:jc w:val="both"/>
        <w:textAlignment w:val="auto"/>
        <w:rPr>
          <w:rFonts w:hint="eastAsia" w:ascii="仿宋" w:hAnsi="仿宋" w:eastAsia="仿宋" w:cs="仿宋"/>
          <w:kern w:val="2"/>
          <w:sz w:val="32"/>
          <w:szCs w:val="32"/>
          <w:lang w:val="en-US" w:eastAsia="zh-CN"/>
        </w:rPr>
      </w:pPr>
      <w:bookmarkStart w:id="0" w:name="_GoBack"/>
      <w:bookmarkEnd w:id="0"/>
    </w:p>
    <w:p w14:paraId="59194490">
      <w:pPr>
        <w:pStyle w:val="5"/>
        <w:keepNext w:val="0"/>
        <w:keepLines w:val="0"/>
        <w:pageBreakBefore w:val="0"/>
        <w:shd w:val="clear" w:color="auto"/>
        <w:kinsoku/>
        <w:wordWrap/>
        <w:overflowPunct/>
        <w:topLinePunct w:val="0"/>
        <w:autoSpaceDE/>
        <w:autoSpaceDN/>
        <w:bidi w:val="0"/>
        <w:adjustRightInd/>
        <w:snapToGrid/>
        <w:spacing w:before="0" w:beforeAutospacing="0" w:after="0" w:afterAutospacing="0" w:line="520" w:lineRule="exact"/>
        <w:ind w:firstLine="3520" w:firstLineChars="1100"/>
        <w:jc w:val="both"/>
        <w:textAlignment w:val="auto"/>
        <w:rPr>
          <w:rFonts w:hint="eastAsia" w:ascii="仿宋" w:hAnsi="仿宋" w:eastAsia="仿宋" w:cs="仿宋"/>
          <w:kern w:val="2"/>
          <w:sz w:val="32"/>
          <w:szCs w:val="32"/>
          <w:lang w:val="en-US" w:eastAsia="zh-CN"/>
        </w:rPr>
      </w:pPr>
    </w:p>
    <w:p w14:paraId="2BAB83B4">
      <w:pPr>
        <w:pStyle w:val="5"/>
        <w:keepNext w:val="0"/>
        <w:keepLines w:val="0"/>
        <w:pageBreakBefore w:val="0"/>
        <w:shd w:val="clear" w:color="auto"/>
        <w:kinsoku/>
        <w:wordWrap/>
        <w:overflowPunct/>
        <w:topLinePunct w:val="0"/>
        <w:autoSpaceDE/>
        <w:autoSpaceDN/>
        <w:bidi w:val="0"/>
        <w:adjustRightInd/>
        <w:snapToGrid/>
        <w:spacing w:before="0" w:beforeAutospacing="0" w:after="0" w:afterAutospacing="0" w:line="520" w:lineRule="exact"/>
        <w:ind w:firstLine="3520" w:firstLineChars="1100"/>
        <w:jc w:val="both"/>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贵阳市第二人民医院  内科专业基地</w:t>
      </w:r>
    </w:p>
    <w:p w14:paraId="5E64EA18">
      <w:pPr>
        <w:pStyle w:val="5"/>
        <w:keepNext w:val="0"/>
        <w:keepLines w:val="0"/>
        <w:pageBreakBefore w:val="0"/>
        <w:shd w:val="clear" w:color="auto"/>
        <w:kinsoku/>
        <w:wordWrap/>
        <w:overflowPunct/>
        <w:topLinePunct w:val="0"/>
        <w:autoSpaceDE/>
        <w:autoSpaceDN/>
        <w:bidi w:val="0"/>
        <w:adjustRightInd/>
        <w:snapToGrid/>
        <w:spacing w:before="0" w:beforeAutospacing="0" w:after="0" w:afterAutospacing="0" w:line="520" w:lineRule="exact"/>
        <w:ind w:firstLine="5440" w:firstLineChars="1700"/>
        <w:jc w:val="both"/>
        <w:textAlignment w:val="auto"/>
        <w:rPr>
          <w:rFonts w:hint="default" w:ascii="仿宋" w:hAnsi="仿宋" w:eastAsia="仿宋" w:cs="仿宋"/>
          <w:kern w:val="2"/>
          <w:sz w:val="32"/>
          <w:szCs w:val="32"/>
          <w:lang w:val="en-US" w:eastAsia="zh-CN"/>
        </w:rPr>
      </w:pPr>
    </w:p>
    <w:sectPr>
      <w:footerReference r:id="rId3" w:type="default"/>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AE1C2">
    <w:pPr>
      <w:pStyle w:val="3"/>
    </w:pPr>
    <w:r>
      <w:pict>
        <v:shape id="_x0000_s1025" o:spid="_x0000_s102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DAA9832">
                <w:pPr>
                  <w:pStyle w:val="3"/>
                  <w:rPr>
                    <w:rFonts w:hint="eastAsia" w:eastAsia="宋体"/>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D41ADD"/>
    <w:multiLevelType w:val="singleLevel"/>
    <w:tmpl w:val="0AD41AD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RkMDAwMzMxMTFhOGU2MjQ0ODJjZGU1ZTI3M2I5YzAifQ=="/>
  </w:docVars>
  <w:rsids>
    <w:rsidRoot w:val="00E23E30"/>
    <w:rsid w:val="000E6D50"/>
    <w:rsid w:val="001F3C0C"/>
    <w:rsid w:val="002324DB"/>
    <w:rsid w:val="0025485F"/>
    <w:rsid w:val="00527831"/>
    <w:rsid w:val="0053469A"/>
    <w:rsid w:val="00537990"/>
    <w:rsid w:val="00797558"/>
    <w:rsid w:val="0082486D"/>
    <w:rsid w:val="00982487"/>
    <w:rsid w:val="00C8316C"/>
    <w:rsid w:val="00D25909"/>
    <w:rsid w:val="00D27E5E"/>
    <w:rsid w:val="00E23E30"/>
    <w:rsid w:val="00E9719B"/>
    <w:rsid w:val="00F241DF"/>
    <w:rsid w:val="00F54B7A"/>
    <w:rsid w:val="00F559C9"/>
    <w:rsid w:val="00F7691D"/>
    <w:rsid w:val="00FB16DA"/>
    <w:rsid w:val="01720A6B"/>
    <w:rsid w:val="03D57E03"/>
    <w:rsid w:val="048C54B6"/>
    <w:rsid w:val="05D36A51"/>
    <w:rsid w:val="069F6E09"/>
    <w:rsid w:val="0FD77F2D"/>
    <w:rsid w:val="123C2E0B"/>
    <w:rsid w:val="17824C23"/>
    <w:rsid w:val="1B1A1462"/>
    <w:rsid w:val="1BDB59C9"/>
    <w:rsid w:val="1CE974F2"/>
    <w:rsid w:val="1FF07174"/>
    <w:rsid w:val="1FFF0B42"/>
    <w:rsid w:val="24AA3A0B"/>
    <w:rsid w:val="2D710A58"/>
    <w:rsid w:val="33A651CD"/>
    <w:rsid w:val="34D87807"/>
    <w:rsid w:val="36C53B76"/>
    <w:rsid w:val="36F40B16"/>
    <w:rsid w:val="38043FD8"/>
    <w:rsid w:val="38F61AE1"/>
    <w:rsid w:val="40416B7A"/>
    <w:rsid w:val="46B443A7"/>
    <w:rsid w:val="47F00B48"/>
    <w:rsid w:val="492322E6"/>
    <w:rsid w:val="4A54701C"/>
    <w:rsid w:val="4C25130B"/>
    <w:rsid w:val="4D302E27"/>
    <w:rsid w:val="4DDB10B6"/>
    <w:rsid w:val="50E70E1B"/>
    <w:rsid w:val="50F7201A"/>
    <w:rsid w:val="54DB6E67"/>
    <w:rsid w:val="5805720D"/>
    <w:rsid w:val="58A76997"/>
    <w:rsid w:val="59B9E570"/>
    <w:rsid w:val="5EDBCAA5"/>
    <w:rsid w:val="5FD7F4B8"/>
    <w:rsid w:val="66D639CB"/>
    <w:rsid w:val="6C9830AF"/>
    <w:rsid w:val="6DC6660A"/>
    <w:rsid w:val="6F0D1970"/>
    <w:rsid w:val="70057D92"/>
    <w:rsid w:val="704A3DF6"/>
    <w:rsid w:val="73DF293C"/>
    <w:rsid w:val="748E6582"/>
    <w:rsid w:val="751D1472"/>
    <w:rsid w:val="75334EBC"/>
    <w:rsid w:val="75DAE235"/>
    <w:rsid w:val="77D35AE3"/>
    <w:rsid w:val="78291224"/>
    <w:rsid w:val="793F5645"/>
    <w:rsid w:val="79E866A8"/>
    <w:rsid w:val="7EC50F35"/>
    <w:rsid w:val="7F7F4247"/>
    <w:rsid w:val="7F7F83C2"/>
    <w:rsid w:val="7FDDB2F5"/>
    <w:rsid w:val="BFBD19EB"/>
    <w:rsid w:val="D3F649DF"/>
    <w:rsid w:val="D6BF4BE4"/>
    <w:rsid w:val="DEFBF35D"/>
    <w:rsid w:val="FAFB4632"/>
    <w:rsid w:val="FE9FC02C"/>
    <w:rsid w:val="FEFF47D0"/>
    <w:rsid w:val="FFD210BD"/>
    <w:rsid w:val="FFDF9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snapToGrid w:val="0"/>
      <w:spacing w:line="360" w:lineRule="auto"/>
      <w:jc w:val="center"/>
      <w:outlineLvl w:val="0"/>
    </w:pPr>
    <w:rPr>
      <w:rFonts w:hint="eastAsia" w:ascii="宋体" w:hAnsi="宋体" w:eastAsia="宋体" w:cs="Times New Roman"/>
      <w:b/>
      <w:kern w:val="44"/>
      <w:sz w:val="44"/>
      <w:szCs w:val="48"/>
    </w:rPr>
  </w:style>
  <w:style w:type="character" w:default="1" w:styleId="7">
    <w:name w:val="Default Paragraph Font"/>
    <w:autoRedefine/>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autoRedefine/>
    <w:qFormat/>
    <w:uiPriority w:val="22"/>
    <w:rPr>
      <w:b/>
      <w:bCs/>
    </w:rPr>
  </w:style>
  <w:style w:type="character" w:customStyle="1" w:styleId="9">
    <w:name w:val="页眉 字符"/>
    <w:basedOn w:val="7"/>
    <w:link w:val="4"/>
    <w:autoRedefine/>
    <w:qFormat/>
    <w:uiPriority w:val="99"/>
    <w:rPr>
      <w:sz w:val="18"/>
      <w:szCs w:val="18"/>
    </w:rPr>
  </w:style>
  <w:style w:type="character" w:customStyle="1" w:styleId="10">
    <w:name w:val="页脚 字符"/>
    <w:basedOn w:val="7"/>
    <w:link w:val="3"/>
    <w:autoRedefine/>
    <w:qFormat/>
    <w:uiPriority w:val="99"/>
    <w:rPr>
      <w:sz w:val="18"/>
      <w:szCs w:val="18"/>
    </w:rPr>
  </w:style>
  <w:style w:type="paragraph" w:styleId="1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1008</Words>
  <Characters>1031</Characters>
  <Lines>7</Lines>
  <Paragraphs>1</Paragraphs>
  <TotalTime>2</TotalTime>
  <ScaleCrop>false</ScaleCrop>
  <LinksUpToDate>false</LinksUpToDate>
  <CharactersWithSpaces>1033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2022-04-19T22:01:00Z</dcterms:created>
  <dc:creator> </dc:creator>
  <cp:lastModifiedBy>wang燕</cp:lastModifiedBy>
  <dcterms:modified xsi:type="dcterms:W3CDTF">2026-04-24T06:07:32Z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F159DC04D49A49D2AB22CC0BA23E8B5D_13</vt:lpwstr>
  </property>
  <property fmtid="{D5CDD505-2E9C-101B-9397-08002B2CF9AE}" pid="4" name="KSOTemplateDocerSaveRecord">
    <vt:lpwstr>eyJoZGlkIjoiMDVlOTM3NTQ3ZGVhNzU4MzkzYjczODM4MTIwZGRkZjciLCJ1c2VySWQiOiIyNTUxNDc1MDcifQ==</vt:lpwstr>
  </property>
</Properties>
</file>