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590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贵阳市第二人民医院（金阳医院）</w:t>
      </w:r>
    </w:p>
    <w:p w14:paraId="6E35742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外科专业基地简介</w:t>
      </w:r>
    </w:p>
    <w:p w14:paraId="3C9DF21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一、专业基地基本情况：</w:t>
      </w:r>
    </w:p>
    <w:p w14:paraId="7B9542EC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贵阳市第二人民医院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科专业基地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胃肠外科、肝胆外科、甲乳外科、泌尿外科、整形美容外科、心胸外科、骨科等7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总床位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张，202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年收治病人1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0人次，年门诊量1058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人次，年急诊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51367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人次，年住院病人手术量约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5690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台，病种、技能及设备符合专业基地要求。</w:t>
      </w:r>
    </w:p>
    <w:p w14:paraId="4340B441"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师资情况：</w:t>
      </w:r>
    </w:p>
    <w:p w14:paraId="2EF806F1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外科专业基地现有住培师资53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人，其中正高职称7人，副高职称20人，博士1人；所有师资均取得省、市住院医师培训资格证书，均具有丰富的临床带教经验，熟悉住培相关制度及要求。</w:t>
      </w:r>
    </w:p>
    <w:p w14:paraId="6AD6E2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6927D9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121920</wp:posOffset>
            </wp:positionV>
            <wp:extent cx="1778000" cy="2362835"/>
            <wp:effectExtent l="0" t="0" r="5080" b="14605"/>
            <wp:wrapSquare wrapText="bothSides"/>
            <wp:docPr id="7" name="图片 7" descr="微信图片_2025041710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4171029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胃肠、肝胆外科：基地主任朱应乾，主任医师，硕士生导师。2005年第一军医大学肝胆外科专业硕士研究生毕业，任国际肝胆胰协会中国分会委员、贵州省抗癌协会肝胆胰肿瘤专业委员会常务委员、中国肝胆胰专科联盟贵州省联盟常委、中华结直肠癌MDT联盟贵州分盟常委、贵州省医学会外科感染与器官移植分会委员，贵州省医学会-肠外肠内营养委员会委员。擅长肝胆胰肿瘤及危急重症诊疗，擅长腹腔镜肝切除术、腹腔镜胆总管切开取石术、腹腔镜胆肠吻合术、腹腔镜保脾胰体尾部切除术、腹腔镜脾切除术及胰十二指肠切除术。</w:t>
      </w:r>
    </w:p>
    <w:p w14:paraId="657C678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0AB2BE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113665</wp:posOffset>
            </wp:positionV>
            <wp:extent cx="1764665" cy="2410460"/>
            <wp:effectExtent l="0" t="0" r="3175" b="12700"/>
            <wp:wrapSquare wrapText="bothSides"/>
            <wp:docPr id="13" name="图片 13" descr="微信图片_2025041710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504171051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骨科：杨昱，贵阳市第二人民医院骨科负责人兼任创伤中心主任，骨科博士，副主任医师。贵州省医学会创伤分会常委（兼秘书），贵州省中西医结合学会骨伤专业委员会委员，贵州省康复医学会骨内科专业委员会委员，贵州省医学会急诊医学分会创伤学组委员。曾于解放军总医院参与国家重点研发计划，全军装备军内科研项目等各项课题研究项目，获国家专利4项。发表SCI文章7篇，累计影响因子42分。擅长创伤骨科，髋膝关节退行性变、股骨头坏死等治疗。关节软骨损伤临床治疗与科学研究，多发伤治疗等。</w:t>
      </w:r>
    </w:p>
    <w:p w14:paraId="509B606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A56CA9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59690</wp:posOffset>
            </wp:positionV>
            <wp:extent cx="1779270" cy="2385695"/>
            <wp:effectExtent l="0" t="0" r="3810" b="6985"/>
            <wp:wrapSquare wrapText="bothSides"/>
            <wp:docPr id="11" name="图片 11" descr="微信图片_20250417104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04171043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泌尿外科：梅傲冰，主任医师，泌尿外科硕士，硕士生导师，市管专家。贵州省科技评审专家，贵州医疗事故鉴定专家组成员、中华中医药学会男科分会全国委员、贵州省医学会泌尿外科分会委员、贵州省男科学分会常务委员、贵州省中西医结合学会泌尿外科男科分会常务委员、贵阳市医学会数字泌尿外科分会主任委员、贵阳市医学会泌尿外科学分会副主任委员、贵阳市泌尿外科质控中心主任委员。主持承担国家、省、市级科研项目12项。擅长泌尿系肿瘤、泌尿系结石、尿路畸形修复重建、肾上腺疾病、女性尿失禁、男性生殖系统疾病的诊治。</w:t>
      </w:r>
    </w:p>
    <w:p w14:paraId="49E0877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F75B61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44450</wp:posOffset>
            </wp:positionV>
            <wp:extent cx="1678305" cy="2484120"/>
            <wp:effectExtent l="0" t="0" r="13335" b="0"/>
            <wp:wrapSquare wrapText="bothSides"/>
            <wp:docPr id="10" name="图片 1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甲乳外科：张睿杰，主任医师，现任贵阳市第二人民医院甲乳外科、甲状腺诊疗中心副主任（主持工作），临床第二党支部书记。现任中国医教会头颈肿瘤分会委员，中国优生优育协会智库专家、贵州省康复医学会乳腺分会委员，贵州省抗癌协会乳腺癌专委会青年委员，贵州省医学会肠内肠外营养分会青年委员、贵州省医学会医疗事故鉴定委员会专家库专家，贵州省健康科普专家库专家。</w:t>
      </w:r>
    </w:p>
    <w:p w14:paraId="702CCCE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E16D8A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107315</wp:posOffset>
            </wp:positionV>
            <wp:extent cx="1779270" cy="2368550"/>
            <wp:effectExtent l="0" t="0" r="3810" b="8890"/>
            <wp:wrapSquare wrapText="bothSides"/>
            <wp:docPr id="12" name="图片 12" descr="微信图片_20250417104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04171043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整形外科：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陈祥军，烧伤整形外科主任，主任医师，硕士研究生导师，原贵州医科大学附属医院整形外科副主任。中国研究型医院学会美容医疗专业委员会常务委员，中国整形美容协会损伤救治康复分会常务理事，中国整形美容协会颅颌面外科分会常务理事，贵州省整形美容协会副会长，贵州省整形美容协会鼻整形分会主任委员，贵州省医学会医学美容与美容分会副主任委员，贵州省医学会第一届手外科学分会副主任委员，贵州省非公医疗协会医学美容分会副主任委员，贵州省医学会烧伤整形分会常务委员。1988年毕业于贵阳医学院临床医学系，曾在上海第九人民医院整复外科进修学习。长期从事整形、美容及创面修复工作，具有丰富的临床经验。擅长各种医学美容手术，注射与微整形，脂肪移植,瘢痕及体表肿瘤的诊断与治疗，体表器官缺损与畸形的整复，创面修复、颅面轮廓整形等。</w:t>
      </w:r>
    </w:p>
    <w:p w14:paraId="527CADC5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751FCE7B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107950</wp:posOffset>
            </wp:positionV>
            <wp:extent cx="1539875" cy="2159000"/>
            <wp:effectExtent l="0" t="0" r="3175" b="12700"/>
            <wp:wrapSquare wrapText="right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心胸外科：吴曦珂，贵阳市第二人民医院胸心外科副主任，贵州省生物医学工程学会心血管重症分会委员，中国胸壁外科联盟贵州地区联盟委员。曾于上海市胸科医院心脏大血管外科进修，主要学习成人心脏瓣膜病和冠心病诊疗，于河南省胸科医院小儿心脏外科进修，主要学习先天性心脏病诊疗及围术期管理，可熟练开展单纯先天性心脏病矫治/封堵术。近年来师承河南省胸科医院钱如林教授，可熟练开展胸腔镜下肺、纵隔良恶性肿瘤手术，对手汗症、慢性脓胸、胸廓畸形、以及各类胸部创伤等疾病的外科治疗积累了丰富的经验。</w:t>
      </w:r>
    </w:p>
    <w:p w14:paraId="139FFEB5">
      <w:pPr>
        <w:keepNext w:val="0"/>
        <w:keepLines w:val="0"/>
        <w:pageBreakBefore w:val="0"/>
        <w:shd w:val="clear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5B4AF3B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三、专业基地特色：</w:t>
      </w:r>
    </w:p>
    <w:p w14:paraId="2C1CEB8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本专业按照国家住培培训标准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住院医师规范化培训以培育岗位胜任能力为核心,依据住院医师规范化培训内容与标准分专业实施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培训内容包括医德医风、政策法规、临床实践能力、专业理论知识、人际沟通交流等,重点提高临床规范诊疗能力,适当兼顾临床教学和科研素养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B3BD0F7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除基本的规范化培训任务，我专业基地每年定期组织腹腔镜、泌尿内镜等技能培训，深受学员欢迎。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现有学员共23人，2023、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2024级学员执医通过率100%、历年学员结业通过率100%。</w:t>
      </w:r>
    </w:p>
    <w:p w14:paraId="5DEF926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 </w:t>
      </w:r>
    </w:p>
    <w:p w14:paraId="3802BE2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12065</wp:posOffset>
            </wp:positionV>
            <wp:extent cx="3106420" cy="3013710"/>
            <wp:effectExtent l="0" t="0" r="2540" b="3810"/>
            <wp:wrapNone/>
            <wp:docPr id="79875" name="内容占位符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5" name="内容占位符 5"/>
                    <pic:cNvPicPr>
                      <a:picLocks noGrp="1"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11430</wp:posOffset>
            </wp:positionV>
            <wp:extent cx="3453765" cy="3056890"/>
            <wp:effectExtent l="0" t="0" r="5715" b="635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48EE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164" w:firstLineChars="200"/>
        <w:textAlignment w:val="auto"/>
        <w:rPr>
          <w:rFonts w:hint="eastAsia" w:ascii="仿宋" w:hAnsi="仿宋" w:eastAsia="仿宋" w:cs="仿宋"/>
          <w:color w:val="auto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30"/>
          <w:sz w:val="52"/>
          <w:szCs w:val="52"/>
          <w:shd w:val="clear" w:fill="FFFFFF"/>
          <w:lang w:val="en-US" w:eastAsia="zh-CN"/>
        </w:rPr>
        <w:t>欢迎2026年各住培学员报考！</w:t>
      </w:r>
    </w:p>
    <w:p w14:paraId="383E53D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583DB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</w:pPr>
    </w:p>
    <w:p w14:paraId="3118D01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</w:t>
      </w:r>
    </w:p>
    <w:p w14:paraId="15FC558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贵阳市第二人民医院 外科专业基地</w:t>
      </w:r>
    </w:p>
    <w:p w14:paraId="7B5DC7E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                     </w:t>
      </w:r>
    </w:p>
    <w:sectPr>
      <w:footerReference r:id="rId3" w:type="default"/>
      <w:pgSz w:w="11906" w:h="16838"/>
      <w:pgMar w:top="1440" w:right="141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F2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C1DA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C1DA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08ACB"/>
    <w:multiLevelType w:val="singleLevel"/>
    <w:tmpl w:val="2E808A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Mzk2NzQxN2ExMTllNzI0NjcyNTBmZmU3NWVhMzIifQ=="/>
  </w:docVars>
  <w:rsids>
    <w:rsidRoot w:val="7AAC4428"/>
    <w:rsid w:val="02436043"/>
    <w:rsid w:val="044776B5"/>
    <w:rsid w:val="044F2BF1"/>
    <w:rsid w:val="05EE3D9C"/>
    <w:rsid w:val="06D12B96"/>
    <w:rsid w:val="082F30B8"/>
    <w:rsid w:val="0C500673"/>
    <w:rsid w:val="17C93BEA"/>
    <w:rsid w:val="39FC040D"/>
    <w:rsid w:val="3B4C7555"/>
    <w:rsid w:val="3BB901BB"/>
    <w:rsid w:val="3CD15563"/>
    <w:rsid w:val="3D6924EE"/>
    <w:rsid w:val="415D497D"/>
    <w:rsid w:val="4B32505E"/>
    <w:rsid w:val="4F446BDC"/>
    <w:rsid w:val="50A967CF"/>
    <w:rsid w:val="556B567B"/>
    <w:rsid w:val="5F2764A4"/>
    <w:rsid w:val="5FE079D4"/>
    <w:rsid w:val="604F0058"/>
    <w:rsid w:val="65B53E73"/>
    <w:rsid w:val="74C25579"/>
    <w:rsid w:val="76BA348F"/>
    <w:rsid w:val="79DB386D"/>
    <w:rsid w:val="7AAC4428"/>
    <w:rsid w:val="7B4049C2"/>
    <w:rsid w:val="7DC5682C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napToGrid w:val="0"/>
      <w:spacing w:line="360" w:lineRule="auto"/>
      <w:jc w:val="center"/>
      <w:outlineLvl w:val="0"/>
    </w:pPr>
    <w:rPr>
      <w:rFonts w:hint="eastAsia" w:ascii="宋体" w:hAnsi="宋体" w:eastAsia="宋体" w:cs="Times New Roman"/>
      <w:b/>
      <w:kern w:val="44"/>
      <w:sz w:val="44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1934</Words>
  <Characters>1985</Characters>
  <Lines>0</Lines>
  <Paragraphs>0</Paragraphs>
  <TotalTime>15</TotalTime>
  <ScaleCrop>false</ScaleCrop>
  <LinksUpToDate>false</LinksUpToDate>
  <CharactersWithSpaces>2026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2021-06-17T15:53:00Z</dcterms:created>
  <dc:creator>Administrator</dc:creator>
  <cp:lastModifiedBy>wang燕</cp:lastModifiedBy>
  <dcterms:modified xsi:type="dcterms:W3CDTF">2026-04-24T01:37:48Z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5D3AA22C5AB44201BC13492DBB06D679_13</vt:lpwstr>
  </property>
  <property fmtid="{D5CDD505-2E9C-101B-9397-08002B2CF9AE}" pid="4" name="KSOTemplateDocerSaveRecord">
    <vt:lpwstr>eyJoZGlkIjoiMDVlOTM3NTQ3ZGVhNzU4MzkzYjczODM4MTIwZGRkZjciLCJ1c2VySWQiOiIyNTUxNDc1MDcifQ==</vt:lpwstr>
  </property>
</Properties>
</file>