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13A4E">
      <w:pPr>
        <w:pStyle w:val="2"/>
        <w:widowControl/>
        <w:spacing w:beforeAutospacing="0" w:afterAutospacing="0"/>
      </w:pPr>
    </w:p>
    <w:tbl>
      <w:tblPr>
        <w:tblStyle w:val="3"/>
        <w:tblW w:w="15322" w:type="dxa"/>
        <w:tblInd w:w="95" w:type="dxa"/>
        <w:tblLayout w:type="fixed"/>
        <w:tblCellMar>
          <w:top w:w="0" w:type="dxa"/>
          <w:left w:w="108" w:type="dxa"/>
          <w:bottom w:w="0" w:type="dxa"/>
          <w:right w:w="108" w:type="dxa"/>
        </w:tblCellMar>
      </w:tblPr>
      <w:tblGrid>
        <w:gridCol w:w="755"/>
        <w:gridCol w:w="2149"/>
        <w:gridCol w:w="12418"/>
      </w:tblGrid>
      <w:tr w14:paraId="4136C877">
        <w:tblPrEx>
          <w:tblCellMar>
            <w:top w:w="0" w:type="dxa"/>
            <w:left w:w="108" w:type="dxa"/>
            <w:bottom w:w="0" w:type="dxa"/>
            <w:right w:w="108" w:type="dxa"/>
          </w:tblCellMar>
        </w:tblPrEx>
        <w:trPr>
          <w:trHeight w:val="628"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FBD7">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微软雅黑" w:hAnsi="微软雅黑" w:eastAsia="微软雅黑" w:cs="微软雅黑"/>
                <w:b/>
                <w:bCs/>
                <w:color w:val="000000"/>
                <w:sz w:val="24"/>
                <w:szCs w:val="24"/>
              </w:rPr>
            </w:pPr>
            <w:bookmarkStart w:id="0" w:name="_Hlk236656832"/>
            <w:r>
              <w:rPr>
                <w:rFonts w:hint="eastAsia" w:ascii="微软雅黑" w:hAnsi="微软雅黑" w:eastAsia="微软雅黑" w:cs="微软雅黑"/>
                <w:b/>
                <w:bCs/>
                <w:color w:val="000000"/>
                <w:kern w:val="0"/>
                <w:sz w:val="24"/>
                <w:szCs w:val="24"/>
                <w:lang w:bidi="ar"/>
              </w:rPr>
              <w:t>序号</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C66B">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微软雅黑" w:hAnsi="微软雅黑" w:eastAsia="微软雅黑" w:cs="微软雅黑"/>
                <w:b/>
                <w:bCs/>
                <w:color w:val="000000"/>
                <w:sz w:val="24"/>
                <w:szCs w:val="24"/>
              </w:rPr>
            </w:pPr>
            <w:r>
              <w:rPr>
                <w:rFonts w:hint="eastAsia" w:ascii="微软雅黑" w:hAnsi="微软雅黑" w:eastAsia="微软雅黑" w:cs="微软雅黑"/>
                <w:b/>
                <w:bCs/>
                <w:color w:val="000000"/>
                <w:kern w:val="0"/>
                <w:sz w:val="24"/>
                <w:szCs w:val="24"/>
                <w:lang w:bidi="ar"/>
              </w:rPr>
              <w:t>岗位名称</w:t>
            </w:r>
          </w:p>
        </w:tc>
        <w:tc>
          <w:tcPr>
            <w:tcW w:w="12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66A6">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微软雅黑" w:hAnsi="微软雅黑" w:eastAsia="微软雅黑" w:cs="微软雅黑"/>
                <w:b/>
                <w:bCs/>
                <w:color w:val="000000"/>
                <w:sz w:val="24"/>
                <w:szCs w:val="24"/>
              </w:rPr>
            </w:pPr>
            <w:r>
              <w:rPr>
                <w:rFonts w:hint="eastAsia" w:ascii="微软雅黑" w:hAnsi="微软雅黑" w:eastAsia="微软雅黑" w:cs="微软雅黑"/>
                <w:b/>
                <w:bCs/>
                <w:color w:val="000000"/>
                <w:kern w:val="0"/>
                <w:sz w:val="24"/>
                <w:szCs w:val="24"/>
                <w:lang w:bidi="ar"/>
              </w:rPr>
              <w:t>岗位职责</w:t>
            </w:r>
          </w:p>
        </w:tc>
      </w:tr>
      <w:tr w14:paraId="0E323CCB">
        <w:tblPrEx>
          <w:tblCellMar>
            <w:top w:w="0" w:type="dxa"/>
            <w:left w:w="108" w:type="dxa"/>
            <w:bottom w:w="0" w:type="dxa"/>
            <w:right w:w="108" w:type="dxa"/>
          </w:tblCellMar>
        </w:tblPrEx>
        <w:trPr>
          <w:trHeight w:val="3008"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DF31A">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kern w:val="0"/>
                <w:sz w:val="21"/>
                <w:szCs w:val="21"/>
                <w:lang w:bidi="ar"/>
              </w:rPr>
              <w:t>1</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59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基因治疗研究岗</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E2417">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基因治疗载体的设计与优化：负责针对特定疾病靶点设计重组腺相关病毒（rAAV）、慢病毒（LV）或非病毒载体（如LNP），完成质粒构建、包装生产及纯化工艺优化，并验证载体在靶细胞中的感染效率和表达水平。</w:t>
            </w:r>
          </w:p>
          <w:p w14:paraId="2F5AB935">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疾病动物模型的构建与药效学评价：建立人源化小鼠、PDX模型或特定基因敲除／敲入疾病模型，并对疾病模型动物进行基因治疗干预，系统评估治疗后的病理表型逆转情况。</w:t>
            </w:r>
          </w:p>
          <w:p w14:paraId="6EF6FF12">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基因编辑工具的效率与安全性评估：利用体外细胞系统或动物模型，系统评价所开发基因治疗药物的编辑／表达／干扰效率及脱靶率、安全性，优化载体与基因序列以平衡疗效与安全性。</w:t>
            </w:r>
          </w:p>
          <w:p w14:paraId="244960E4">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 学科建设与项目支撑：支撑中心的基因治疗相关研究项目；积极参与罕见病多学科协作（MDT）；参与相关技术人员的培训与管理；组织开展人才培养与学术交流、参与指南和标准撰写、开展亚专业学科建设等。</w:t>
            </w:r>
          </w:p>
        </w:tc>
      </w:tr>
      <w:tr w14:paraId="366E398C">
        <w:tblPrEx>
          <w:tblCellMar>
            <w:top w:w="0" w:type="dxa"/>
            <w:left w:w="108" w:type="dxa"/>
            <w:bottom w:w="0" w:type="dxa"/>
            <w:right w:w="108" w:type="dxa"/>
          </w:tblCellMar>
        </w:tblPrEx>
        <w:trPr>
          <w:trHeight w:val="3142"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459C">
            <w:pPr>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F9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药理学研究岗</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5621">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罕见病疾病模型的构建与药物筛选：基于罕见病患者的生物样本，通过重编程技术或基因编辑技术构建患者来源的细胞模型、类器官或</w:t>
            </w:r>
            <w:bookmarkStart w:id="1" w:name="_GoBack"/>
            <w:bookmarkEnd w:id="1"/>
            <w:r>
              <w:rPr>
                <w:rFonts w:hint="eastAsia" w:ascii="微软雅黑" w:hAnsi="微软雅黑" w:eastAsia="微软雅黑" w:cs="微软雅黑"/>
                <w:color w:val="000000"/>
                <w:sz w:val="21"/>
                <w:szCs w:val="21"/>
              </w:rPr>
              <w:t>人源化动物模型，通过高通量或高内涵药物筛选平台，对候选化合物或基因治疗策略进行体外药效评价与成药性初步评估。</w:t>
            </w:r>
          </w:p>
          <w:p w14:paraId="3B173D4A">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罕见病发病机制研究：利用罕见病临床生物样本，开展药物靶点验证及疾病相关信号通路的机制研究，结合多组学数据，深入解析患者个体差异背后的分子基础。</w:t>
            </w:r>
          </w:p>
          <w:p w14:paraId="54B28FB8">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个体化用药的生物标志物筛选与验证：针对罕见病患者的表型和基因型异质性，负责筛选和验证预测性、药效性或预后性生物标志物，推动基于药理学机制的个体化治疗策略开发，辅助临床精准医学决策。</w:t>
            </w:r>
          </w:p>
          <w:p w14:paraId="06ACF526">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 创新疗法的临床前转化研究：对接基础研究发现或外部合作引入的新型药物，利用所构建的疾病模型体系进行系统的临床前药效学和作用机制研究，为院内开展首次人体临床试验或研究者发起的临床研究提供充分的药理学依据。</w:t>
            </w:r>
          </w:p>
          <w:p w14:paraId="37846204">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 学科建设与项目支撑：支撑中心的罕见病药理学方向科研课题的申报、实施与全过程管理，定期整合研究数据并撰写科研论文；积极参与罕见病多学科协作（MDT）；参与相关技术人员的培训与管理；组织开展人才培养与学术交流、参与指南和标准撰写、开展亚专业学科建设等。</w:t>
            </w:r>
          </w:p>
        </w:tc>
      </w:tr>
      <w:tr w14:paraId="5054668E">
        <w:tblPrEx>
          <w:tblCellMar>
            <w:top w:w="0" w:type="dxa"/>
            <w:left w:w="108" w:type="dxa"/>
            <w:bottom w:w="0" w:type="dxa"/>
            <w:right w:w="108" w:type="dxa"/>
          </w:tblCellMar>
        </w:tblPrEx>
        <w:trPr>
          <w:trHeight w:val="336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41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28D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结构生物学研究岗</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ECF2">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围绕罕见病临床问题和关键科学问题，开展疾病相关蛋白、蛋白复合物及其他生物大分子的结构与功能研究，解析致病突变引起的结构、构象、稳定性及功能异常。</w:t>
            </w:r>
          </w:p>
          <w:p w14:paraId="3D6DB120">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开展冷冻电镜单颗粒结构解析及相关样品制备、数据采集、图像处理、三维重构和模型构建；具备条件者可进一步开展原位结构、生物大分子复合物及动态构象研究。</w:t>
            </w:r>
          </w:p>
          <w:p w14:paraId="4181FE51">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结合蛋白质表达与纯化、生化／生物物理学实验、酶活性及结合实验等，对结构发现进行功能验证，建立“临床表型—遗传变异—分子结构—功能异常—疾病机制”的研究链条。</w:t>
            </w:r>
          </w:p>
          <w:p w14:paraId="7DF94D01">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 结合罕见病患者临床表型、遗传学及多组学资料，筛选和验证具有重要生物学意义的疾病相关靶点，推动结构生物学与临床医学、遗传学、药理学及计算生物学等交叉融合。</w:t>
            </w:r>
          </w:p>
          <w:p w14:paraId="2CC2B1D5">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 参与基于结构的药物研发相关研究，包括潜在药物靶点结构解析、配体／抗体结合机制研究及先导化合物筛选与优化等。</w:t>
            </w:r>
          </w:p>
          <w:p w14:paraId="299E00E1">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 独立或协助承担科研项目，完成实验设计、数据分析、论文撰写及科研成果转化等工作，并积极参与团队科研合作与学术交流。</w:t>
            </w:r>
          </w:p>
        </w:tc>
      </w:tr>
      <w:tr w14:paraId="488C62CD">
        <w:tblPrEx>
          <w:tblCellMar>
            <w:top w:w="0" w:type="dxa"/>
            <w:left w:w="108" w:type="dxa"/>
            <w:bottom w:w="0" w:type="dxa"/>
            <w:right w:w="108" w:type="dxa"/>
          </w:tblCellMar>
        </w:tblPrEx>
        <w:trPr>
          <w:trHeight w:val="336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082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kern w:val="0"/>
                <w:sz w:val="21"/>
                <w:szCs w:val="21"/>
                <w:lang w:bidi="ar"/>
              </w:rPr>
            </w:pPr>
            <w:r>
              <w:rPr>
                <w:rFonts w:hint="eastAsia" w:ascii="微软雅黑" w:hAnsi="微软雅黑" w:eastAsia="微软雅黑" w:cs="微软雅黑"/>
                <w:color w:val="000000"/>
                <w:sz w:val="21"/>
                <w:szCs w:val="21"/>
              </w:rPr>
              <w:t>4</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7C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天然产物研究岗</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2438">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天然产物挖掘与表征：负责药用植物天然产物的提取、分离、纯化（如色谱技术），以及结构鉴定（NMR、MS解析）与活性评价；</w:t>
            </w:r>
          </w:p>
          <w:p w14:paraId="75FE603B">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结构优化与合成研究：基于结构－活性关系（SAR）分析，开展天然产物的半合成／全合成修饰，重点提升生物活性、选择性及类药性（Drug－likeness）；</w:t>
            </w:r>
          </w:p>
          <w:p w14:paraId="7E4ECA49">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天然产物生物合成研究：开展重要天然产物生物合成途径解析、异源重构与高产改造、植物遗传转化与基因编辑</w:t>
            </w:r>
          </w:p>
          <w:p w14:paraId="31296142">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 项目管理与标准化：独立或牵头制定研发方案、进度计划及标准操作规程（SOP），确保实验可重复性与合规性；</w:t>
            </w:r>
          </w:p>
          <w:p w14:paraId="373626E2">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 数据整合与创新设计：完成实验数据的统计分析、归档及研究报告撰写，主导提出创新性研发路径（如新骨架设计）。</w:t>
            </w:r>
          </w:p>
        </w:tc>
      </w:tr>
      <w:tr w14:paraId="581CCAF4">
        <w:tblPrEx>
          <w:tblCellMar>
            <w:top w:w="0" w:type="dxa"/>
            <w:left w:w="108" w:type="dxa"/>
            <w:bottom w:w="0" w:type="dxa"/>
            <w:right w:w="108" w:type="dxa"/>
          </w:tblCellMar>
        </w:tblPrEx>
        <w:trPr>
          <w:trHeight w:val="336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61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kern w:val="0"/>
                <w:sz w:val="21"/>
                <w:szCs w:val="21"/>
                <w:lang w:bidi="ar"/>
              </w:rPr>
            </w:pPr>
            <w:r>
              <w:rPr>
                <w:rFonts w:hint="eastAsia" w:ascii="微软雅黑" w:hAnsi="微软雅黑" w:eastAsia="微软雅黑" w:cs="微软雅黑"/>
                <w:color w:val="000000"/>
                <w:sz w:val="21"/>
                <w:szCs w:val="21"/>
              </w:rPr>
              <w:t>5</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BEA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中西医结合研究岗</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FDCB">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负责中药新药及经典名方相关研究工作；能独立及指导团队完成中药新药、改良型新药、经典名方、中药院内制剂及现有品种技术提升等研发工作；</w:t>
            </w:r>
          </w:p>
          <w:p w14:paraId="52B65A91">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负责药食同源物质功能评价与产品开发；</w:t>
            </w:r>
          </w:p>
          <w:p w14:paraId="5424E475">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中药复杂系统作用机理解析、经典名方现代化与智能制造；</w:t>
            </w:r>
          </w:p>
          <w:p w14:paraId="2AB1A00D">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 协助中西结合研究方向的对外合作交流对接和学术技术活动；</w:t>
            </w:r>
          </w:p>
          <w:p w14:paraId="2507E9A4">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 项目管理与标准化：独立或牵头制定研发方案、进度计划及标准操作规程（SOP），确保实验可重复性与合规性；</w:t>
            </w:r>
          </w:p>
          <w:p w14:paraId="61BC32D0">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6. 数据整合与创新设计：完成实验数据的统计分析、归档及研究报告撰写</w:t>
            </w:r>
            <w:r>
              <w:rPr>
                <w:rFonts w:hint="eastAsia" w:ascii="微软雅黑" w:hAnsi="微软雅黑" w:eastAsia="微软雅黑" w:cs="微软雅黑"/>
                <w:color w:val="000000"/>
                <w:sz w:val="21"/>
                <w:szCs w:val="21"/>
                <w:lang w:eastAsia="zh-CN"/>
              </w:rPr>
              <w:t>。</w:t>
            </w:r>
          </w:p>
        </w:tc>
      </w:tr>
      <w:tr w14:paraId="16CCDC9E">
        <w:tblPrEx>
          <w:tblCellMar>
            <w:top w:w="0" w:type="dxa"/>
            <w:left w:w="108" w:type="dxa"/>
            <w:bottom w:w="0" w:type="dxa"/>
            <w:right w:w="108" w:type="dxa"/>
          </w:tblCellMar>
        </w:tblPrEx>
        <w:trPr>
          <w:trHeight w:val="9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B6F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kern w:val="0"/>
                <w:sz w:val="21"/>
                <w:szCs w:val="21"/>
                <w:lang w:bidi="ar"/>
              </w:rPr>
            </w:pPr>
            <w:r>
              <w:rPr>
                <w:rFonts w:hint="eastAsia" w:ascii="微软雅黑" w:hAnsi="微软雅黑" w:eastAsia="微软雅黑" w:cs="微软雅黑"/>
                <w:color w:val="000000"/>
                <w:sz w:val="21"/>
                <w:szCs w:val="21"/>
              </w:rPr>
              <w:t>6</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B6E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转化医学研究岗</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01E7">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围绕罕见病发生发展的分子机制开展基础与转化研究，重点研究异常转录调控、DNA甲基化、染色质修饰及相关表观遗传调控机制；</w:t>
            </w:r>
          </w:p>
          <w:p w14:paraId="72442D1C">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运用CRISPR／Cas9等基因编辑技术，构建基因敲除、定点敲入及点突变细胞模型，开展罕见病致病机制研究；</w:t>
            </w:r>
          </w:p>
          <w:p w14:paraId="41D879CA">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开展候选靶点及候选药物的生物化学、细胞生物学和分子机制验证，推动研究成果向疾病诊疗和药物开发转化；</w:t>
            </w:r>
          </w:p>
          <w:p w14:paraId="0ED9A830">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 参与科研项目申报、论文撰写及研究成果转化等工作。</w:t>
            </w:r>
          </w:p>
        </w:tc>
      </w:tr>
      <w:tr w14:paraId="1EB25519">
        <w:tblPrEx>
          <w:tblCellMar>
            <w:top w:w="0" w:type="dxa"/>
            <w:left w:w="108" w:type="dxa"/>
            <w:bottom w:w="0" w:type="dxa"/>
            <w:right w:w="108" w:type="dxa"/>
          </w:tblCellMar>
        </w:tblPrEx>
        <w:trPr>
          <w:trHeight w:val="1846"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790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kern w:val="0"/>
                <w:sz w:val="21"/>
                <w:szCs w:val="21"/>
                <w:lang w:bidi="ar"/>
              </w:rPr>
            </w:pPr>
            <w:r>
              <w:rPr>
                <w:rFonts w:hint="eastAsia" w:ascii="微软雅黑" w:hAnsi="微软雅黑" w:eastAsia="微软雅黑" w:cs="微软雅黑"/>
                <w:color w:val="000000"/>
                <w:sz w:val="21"/>
                <w:szCs w:val="21"/>
              </w:rPr>
              <w:t>7</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5B0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生物信息学研究岗</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19F3">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围绕罕见病致病机制和潜在诊疗靶点开展生物信息学与多组学研究；承担罕见病临床队列及科研项目相关测序数据的分析与解读；</w:t>
            </w:r>
          </w:p>
          <w:p w14:paraId="623B5726">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开展基因组、转录组、表观组、蛋白组和代谢组等多组学数据的整合分析，挖掘疾病相关分子特征、生物标志物及潜在治疗靶点；</w:t>
            </w:r>
          </w:p>
          <w:p w14:paraId="68D5DA9D">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参与科研项目申报、论文撰写及研究成果转化等工作。</w:t>
            </w:r>
          </w:p>
        </w:tc>
      </w:tr>
      <w:tr w14:paraId="0FFB2996">
        <w:tblPrEx>
          <w:tblCellMar>
            <w:top w:w="0" w:type="dxa"/>
            <w:left w:w="108" w:type="dxa"/>
            <w:bottom w:w="0" w:type="dxa"/>
            <w:right w:w="108" w:type="dxa"/>
          </w:tblCellMar>
        </w:tblPrEx>
        <w:trPr>
          <w:trHeight w:val="1418"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D9A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kern w:val="0"/>
                <w:sz w:val="21"/>
                <w:szCs w:val="21"/>
                <w:lang w:bidi="ar"/>
              </w:rPr>
            </w:pPr>
            <w:r>
              <w:rPr>
                <w:rFonts w:hint="eastAsia" w:ascii="微软雅黑" w:hAnsi="微软雅黑" w:eastAsia="微软雅黑" w:cs="微软雅黑"/>
                <w:color w:val="000000"/>
                <w:sz w:val="21"/>
                <w:szCs w:val="21"/>
              </w:rPr>
              <w:t>8</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FC7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基因治疗研究岗</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E11A">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基因治疗载体的设计与优化：负责针对特定疾病靶点设计重组腺相关病毒（rAAV）、慢病毒（LV）或非病毒载体（如LNP），完成质粒构建、包装生产及纯化工艺优化，并验证载体在靶细胞中的感染效率和表达水平。</w:t>
            </w:r>
          </w:p>
          <w:p w14:paraId="4A132EBB">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疾病动物模型的构建与药效学评价：建立人源化小鼠、PDX模型或特定基因敲除／敲入疾病模型，并对疾病模型动物进行基因治疗干预，系统评估治疗后的病理表型逆转情况。</w:t>
            </w:r>
          </w:p>
          <w:p w14:paraId="51D96BA9">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基因编辑工具的效率与安全性评估：利用体外细胞系统或动物模型，系统评价所开发基因治疗药物的编辑／表达／干扰效率及脱靶率、安全性，优化载体与基因序列以平衡疗效与安全性。</w:t>
            </w:r>
          </w:p>
          <w:p w14:paraId="0ABC1806">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 学科建设与项目支撑：支撑中心的基因治疗相关研究项目；积极参与罕见病多学科协作（MDT）；参与相关技术人员的培训与管理；组织开展人才培养与学术交流、参与指南和标准撰写、开展亚专业学科建设等。</w:t>
            </w:r>
          </w:p>
        </w:tc>
      </w:tr>
      <w:tr w14:paraId="2AA77E8F">
        <w:tblPrEx>
          <w:tblCellMar>
            <w:top w:w="0" w:type="dxa"/>
            <w:left w:w="108" w:type="dxa"/>
            <w:bottom w:w="0" w:type="dxa"/>
            <w:right w:w="108" w:type="dxa"/>
          </w:tblCellMar>
        </w:tblPrEx>
        <w:trPr>
          <w:trHeight w:val="336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277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kern w:val="0"/>
                <w:sz w:val="21"/>
                <w:szCs w:val="21"/>
                <w:lang w:bidi="ar"/>
              </w:rPr>
            </w:pPr>
            <w:r>
              <w:rPr>
                <w:rFonts w:hint="eastAsia" w:ascii="微软雅黑" w:hAnsi="微软雅黑" w:eastAsia="微软雅黑" w:cs="微软雅黑"/>
                <w:color w:val="000000"/>
                <w:sz w:val="21"/>
                <w:szCs w:val="21"/>
              </w:rPr>
              <w:t>9</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F6E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人工智能医疗研究岗（AI for Medicine方向）</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F9D0">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负责面向罕见病全链条临床诊疗的大模型持续优化与领域适配，基于大规模全基因组测序数据、罕见病注册登记数据和人群筛查数据开展模型训练与微调；</w:t>
            </w:r>
          </w:p>
          <w:p w14:paraId="2E7085A7">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设计筛查、辅助诊断、基因分析、综合诊疗决策、长期随访各环节专用的模型能力模块，开发面向基层医生的AI辅助解读功能；</w:t>
            </w:r>
          </w:p>
          <w:p w14:paraId="424FF642">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构建"临床使用—数据反馈—模型迭代"闭环机制，设计模型可解释性方法，展示诊断逻辑链路；</w:t>
            </w:r>
          </w:p>
          <w:p w14:paraId="71BE2A46">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 支撑"协和·太初"开源协作社区模型与工具层建设，参与模型权重、推理代码、模型卡与技术文档的开源发布及面向协作医院的API开放服务；</w:t>
            </w:r>
          </w:p>
          <w:p w14:paraId="42C083F4">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 跟踪AI for Medicine国际前沿，将最新技术成果转化为临床可用能力；参与科研项目申报、论文撰写及研究成果转化等工作。</w:t>
            </w:r>
          </w:p>
        </w:tc>
      </w:tr>
      <w:tr w14:paraId="23C4332B">
        <w:tblPrEx>
          <w:tblCellMar>
            <w:top w:w="0" w:type="dxa"/>
            <w:left w:w="108" w:type="dxa"/>
            <w:bottom w:w="0" w:type="dxa"/>
            <w:right w:w="108" w:type="dxa"/>
          </w:tblCellMar>
        </w:tblPrEx>
        <w:trPr>
          <w:trHeight w:val="336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7D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kern w:val="0"/>
                <w:sz w:val="21"/>
                <w:szCs w:val="21"/>
                <w:lang w:bidi="ar"/>
              </w:rPr>
            </w:pPr>
            <w:r>
              <w:rPr>
                <w:rFonts w:hint="eastAsia" w:ascii="微软雅黑" w:hAnsi="微软雅黑" w:eastAsia="微软雅黑" w:cs="微软雅黑"/>
                <w:color w:val="000000"/>
                <w:sz w:val="21"/>
                <w:szCs w:val="21"/>
              </w:rPr>
              <w:t>10</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864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人工智能科学研究岗（AI for Science方向）</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B77B">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负责面向未诊断疾病机制研究科学发现的大模型能力开发，利用多组学数据训练科学假说生成模型；</w:t>
            </w:r>
          </w:p>
          <w:p w14:paraId="76A1874C">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开发多组学因果推理算法，实现基因组、转录组、蛋白质组、代谢组的跨层级因果推断，支撑从数据关联到机制阐释的科学发现；</w:t>
            </w:r>
          </w:p>
          <w:p w14:paraId="026F267E">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开发虚拟仿真环节的候选假说预筛选模型，构建AI赋能的罕见病数据库（多模态数据库、中国人群特异性等位基因频率库、临床级专家诊疗知识库）的智能化检索与推理功能；</w:t>
            </w:r>
          </w:p>
          <w:p w14:paraId="0657B4A2">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 支撑"协和·太初"开源协作社区知识层与模型层建设，参与罕见病知识图谱、开放知识库构建及国际知识回流；</w:t>
            </w:r>
          </w:p>
          <w:p w14:paraId="40A71CBE">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 跟踪科学大模型、多模态融合架构等国际前沿并转化为可用能力；参与科研项目申报、论文撰写及研究成果转化等工作。</w:t>
            </w:r>
          </w:p>
        </w:tc>
      </w:tr>
      <w:tr w14:paraId="006B2C24">
        <w:tblPrEx>
          <w:tblCellMar>
            <w:top w:w="0" w:type="dxa"/>
            <w:left w:w="108" w:type="dxa"/>
            <w:bottom w:w="0" w:type="dxa"/>
            <w:right w:w="108" w:type="dxa"/>
          </w:tblCellMar>
        </w:tblPrEx>
        <w:trPr>
          <w:trHeight w:val="336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2CC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kern w:val="0"/>
                <w:sz w:val="21"/>
                <w:szCs w:val="21"/>
                <w:lang w:bidi="ar"/>
              </w:rPr>
            </w:pPr>
            <w:r>
              <w:rPr>
                <w:rFonts w:hint="eastAsia" w:ascii="微软雅黑" w:hAnsi="微软雅黑" w:eastAsia="微软雅黑" w:cs="微软雅黑"/>
                <w:color w:val="000000"/>
                <w:sz w:val="21"/>
                <w:szCs w:val="21"/>
              </w:rPr>
              <w:t>11</w:t>
            </w:r>
          </w:p>
        </w:tc>
        <w:tc>
          <w:tcPr>
            <w:tcW w:w="2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BBE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jc w:val="center"/>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sz w:val="21"/>
                <w:szCs w:val="21"/>
              </w:rPr>
              <w:t>医学人工智能评估研究岗</w:t>
            </w:r>
          </w:p>
        </w:tc>
        <w:tc>
          <w:tcPr>
            <w:tcW w:w="12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5D10">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负责构建AI for Medicine全链条临床评估框架，围绕筛查灵敏度与特异度、AI推荐与最终诊断一致性、变异检出率提升、多学科会诊准备效率、患者随访依从性等环节设计评估指标，开展真实世界研究和前瞻性队列研究；</w:t>
            </w:r>
          </w:p>
          <w:p w14:paraId="0BC364B7">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构建AI for Science科学发现评估框架，围绕专家一致性、假说可重复性、验证采纳率等指标开展科学质量评估；</w:t>
            </w:r>
          </w:p>
          <w:p w14:paraId="7E82C0E6">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 建立医学AI应用不良事件监测和报告机制；基于评估结果向模型研发团队独立反馈优化建议，形成"研发—部署—评估—反馈—再研发"闭环，评估过程与模型研发分离以保证客观性；</w:t>
            </w:r>
          </w:p>
          <w:p w14:paraId="2E7EC389">
            <w:pPr>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center"/>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 建设AI应用长期跟踪数据库，积累AI评估方法论证据；撰写评估报告与高水平研究论文，参与科研项目申报及研究成果转化等工作。</w:t>
            </w:r>
          </w:p>
        </w:tc>
      </w:tr>
      <w:bookmarkEnd w:id="0"/>
    </w:tbl>
    <w:p w14:paraId="1684A729">
      <w:pPr>
        <w:pStyle w:val="2"/>
        <w:keepNext w:val="0"/>
        <w:keepLines w:val="0"/>
        <w:pageBreakBefore w:val="0"/>
        <w:widowControl/>
        <w:kinsoku/>
        <w:wordWrap/>
        <w:overflowPunct/>
        <w:topLinePunct w:val="0"/>
        <w:autoSpaceDE/>
        <w:autoSpaceDN/>
        <w:bidi w:val="0"/>
        <w:adjustRightInd/>
        <w:snapToGrid/>
        <w:spacing w:beforeAutospacing="0" w:afterAutospacing="0" w:line="120" w:lineRule="auto"/>
        <w:rPr>
          <w:rFonts w:hint="eastAsia" w:ascii="微软雅黑" w:hAnsi="微软雅黑" w:eastAsia="微软雅黑" w:cs="微软雅黑"/>
          <w:sz w:val="21"/>
          <w:szCs w:val="21"/>
        </w:rPr>
      </w:pPr>
    </w:p>
    <w:sectPr>
      <w:pgSz w:w="16838" w:h="11906" w:orient="landscape"/>
      <w:pgMar w:top="437" w:right="720" w:bottom="437"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49B"/>
    <w:rsid w:val="00093D38"/>
    <w:rsid w:val="000A6609"/>
    <w:rsid w:val="003149C3"/>
    <w:rsid w:val="0099149B"/>
    <w:rsid w:val="00F47F7E"/>
    <w:rsid w:val="02525DCB"/>
    <w:rsid w:val="24A775F4"/>
    <w:rsid w:val="36F918D2"/>
    <w:rsid w:val="41C602F1"/>
    <w:rsid w:val="426962D8"/>
    <w:rsid w:val="482D3E87"/>
    <w:rsid w:val="4CB61B3C"/>
    <w:rsid w:val="608818A6"/>
    <w:rsid w:val="609603C4"/>
    <w:rsid w:val="63752F3C"/>
    <w:rsid w:val="6DB92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921</Words>
  <Characters>946</Characters>
  <Lines>6</Lines>
  <Paragraphs>1</Paragraphs>
  <TotalTime>5</TotalTime>
  <ScaleCrop>false</ScaleCrop>
  <LinksUpToDate>false</LinksUpToDate>
  <CharactersWithSpaces>946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2025-10-31T00:59:00Z</dcterms:created>
  <dc:creator>fanxinchen</dc:creator>
  <cp:lastModifiedBy>范新晨</cp:lastModifiedBy>
  <dcterms:modified xsi:type="dcterms:W3CDTF">2026-09-14T06:35:01Z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eyJoZGlkIjoiMTM4ZTk4NmZkNWFkMjE1YThmOWE5NzQ5YmYzYTg2Y2MiLCJ1c2VySWQiOiIyNTI1MTk3NTQifQ==</vt:lpwstr>
  </property>
  <property fmtid="{D5CDD505-2E9C-101B-9397-08002B2CF9AE}" pid="4" name="ICV">
    <vt:lpwstr>D50D28559E73458B83EB9201F0846181_12</vt:lpwstr>
  </property>
</Properties>
</file>